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settings.xml" ContentType="application/vnd.openxmlformats-officedocument.wordprocessingml.settings+xml"/>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mc:Ignorable="w14 wp14 ">
  <w:body>
    <w:p w14:paraId="00000005">
      <w:pPr>
        <w:pStyle w:val="Normal"/>
        <w:spacing w:before="40" w:beforeAutospacing="0" w:after="0" w:afterAutospacing="0" w:line="240" w:lineRule="auto"/>
        <w:ind w:right="98"/>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МИНИСТЕРСТВО НАУКИ И ВЫСШЕГО ОБРАЗОВАНИЯ </w:t>
      </w:r>
    </w:p>
    <w:p w14:paraId="00000006">
      <w:pPr>
        <w:pStyle w:val="Normal"/>
        <w:spacing w:before="40" w:beforeAutospacing="0" w:after="0" w:afterAutospacing="0" w:line="240" w:lineRule="auto"/>
        <w:ind w:right="98"/>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РОССИЙСКОЙ ФЕДЕРАЦИИ</w:t>
      </w:r>
    </w:p>
    <w:p w14:paraId="00000007">
      <w:pPr>
        <w:pStyle w:val="Normal"/>
        <w:spacing w:before="40" w:beforeAutospacing="0" w:after="0" w:afterAutospacing="0" w:line="240" w:lineRule="auto"/>
        <w:ind w:right="98"/>
        <w:jc w:val="center"/>
        <w:rPr>
          <w:rFonts w:ascii="Times New Roman" w:cs="Times New Roman" w:eastAsia="Times New Roman" w:hAnsi="Times New Roman"/>
          <w:sz w:val="24"/>
          <w:szCs w:val="24"/>
        </w:rPr>
      </w:pPr>
    </w:p>
    <w:p w14:paraId="00000008">
      <w:pPr>
        <w:pStyle w:val="Normal"/>
        <w:spacing w:before="40" w:beforeAutospacing="0" w:after="0" w:afterAutospacing="0" w:line="240" w:lineRule="auto"/>
        <w:ind w:right="98"/>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Федеральное государственное бюджетное образовательное учреждение высшего образования</w:t>
      </w:r>
    </w:p>
    <w:p w14:paraId="00000009">
      <w:pPr>
        <w:pStyle w:val="Normal"/>
        <w:spacing w:before="40" w:beforeAutospacing="0" w:after="0" w:afterAutospacing="0" w:line="240" w:lineRule="auto"/>
        <w:ind w:right="98"/>
        <w:jc w:val="center"/>
        <w:rPr>
          <w:rFonts w:ascii="Times New Roman" w:cs="Times New Roman" w:eastAsia="Times New Roman" w:hAnsi="Times New Roman"/>
          <w:sz w:val="24"/>
          <w:szCs w:val="24"/>
        </w:rPr>
      </w:pPr>
    </w:p>
    <w:p w14:paraId="0000000A">
      <w:pPr>
        <w:pStyle w:val="Normal"/>
        <w:spacing w:before="40" w:beforeAutospacing="0" w:after="0" w:afterAutospacing="0" w:line="240" w:lineRule="auto"/>
        <w:ind w:right="98"/>
        <w:jc w:val="center"/>
        <w:rPr>
          <w:rFonts w:ascii="Times New Roman" w:cs="Times New Roman" w:eastAsia="Times New Roman" w:hAnsi="Times New Roman"/>
          <w:b/>
          <w:bCs/>
          <w:sz w:val="28"/>
          <w:szCs w:val="28"/>
        </w:rPr>
      </w:pPr>
      <w:r>
        <w:rPr>
          <w:rFonts w:ascii="Times New Roman" w:cs="Times New Roman" w:eastAsia="Times New Roman" w:hAnsi="Times New Roman"/>
          <w:b/>
          <w:bCs/>
          <w:sz w:val="28"/>
          <w:szCs w:val="28"/>
        </w:rPr>
        <w:t>«ПЕНЗЕНСКИЙ ГОСУДАРСТВЕННЫЙ УНИВЕРСИТЕТ»</w:t>
      </w:r>
    </w:p>
    <w:p w14:paraId="0000000B">
      <w:pPr>
        <w:pStyle w:val="Normal"/>
        <w:spacing w:before="40" w:beforeAutospacing="0" w:after="0" w:afterAutospacing="0" w:line="240" w:lineRule="auto"/>
        <w:ind w:right="98"/>
        <w:jc w:val="center"/>
        <w:rPr>
          <w:rFonts w:ascii="Times New Roman" w:cs="Times New Roman" w:eastAsia="Times New Roman" w:hAnsi="Times New Roman"/>
          <w:b/>
          <w:bCs/>
          <w:sz w:val="28"/>
          <w:szCs w:val="28"/>
        </w:rPr>
      </w:pPr>
    </w:p>
    <w:tbl>
      <w:tblPr>
        <w:tblStyle w:val="A5"/>
        <w:tblW w:w="9747" w:type="dxa"/>
        <w:tblInd w:w="0" w:type="dxa"/>
        <w:tblLayout w:type="fixed"/>
        <w:tblLook w:val="0400"/>
      </w:tblPr>
      <w:tblGrid>
        <w:gridCol w:w="4924"/>
        <w:gridCol w:w="4823"/>
      </w:tblGrid>
      <w:tr>
        <w:trPr/>
        <w:tc>
          <w:tcPr>
            <w:cnfStyle w:val="000000100000"/>
            <w:tcW w:w="4924" w:type="dxa"/>
          </w:tcPr>
          <w:p w14:paraId="0000000C">
            <w:pPr>
              <w:pStyle w:val="Normal"/>
              <w:spacing w:before="40" w:beforeAutospacing="0" w:after="0" w:afterAutospacing="0" w:line="240" w:lineRule="auto"/>
              <w:ind w:left="-567" w:right="98"/>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Институт</w:t>
            </w:r>
          </w:p>
          <w:p w14:paraId="0000000D">
            <w:pPr>
              <w:pStyle w:val="Normal"/>
              <w:spacing w:before="40" w:beforeAutospacing="0" w:after="0" w:afterAutospacing="0" w:line="240" w:lineRule="auto"/>
              <w:ind w:left="-567" w:right="98"/>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экономики и управления</w:t>
            </w:r>
          </w:p>
        </w:tc>
        <w:tc>
          <w:tcPr>
            <w:cnfStyle w:val="000000100000"/>
            <w:tcW w:w="4823" w:type="dxa"/>
          </w:tcPr>
          <w:p w14:paraId="0000000E">
            <w:pPr>
              <w:pStyle w:val="Normal"/>
              <w:spacing w:before="40" w:beforeAutospacing="0" w:after="0" w:afterAutospacing="0" w:line="240" w:lineRule="auto"/>
              <w:ind w:right="98"/>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Кафедра </w:t>
            </w:r>
          </w:p>
          <w:p w14:paraId="0000000F">
            <w:pPr>
              <w:pStyle w:val="Normal"/>
              <w:spacing w:before="40" w:beforeAutospacing="0" w:after="0" w:afterAutospacing="0" w:line="240" w:lineRule="auto"/>
              <w:ind w:right="98"/>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«Менеджмент и государственное управление»</w:t>
            </w:r>
          </w:p>
        </w:tc>
      </w:tr>
      <w:tr>
        <w:trPr/>
        <w:tc>
          <w:tcPr>
            <w:cnfStyle w:val="000000010000"/>
            <w:tcW w:w="4924" w:type="dxa"/>
          </w:tcPr>
          <w:p w14:paraId="00000010">
            <w:pPr>
              <w:pStyle w:val="Normal"/>
              <w:spacing w:before="40" w:beforeAutospacing="0" w:after="0" w:afterAutospacing="0" w:line="240" w:lineRule="auto"/>
              <w:ind w:left="426" w:right="98"/>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Направление подготовки</w:t>
            </w:r>
          </w:p>
        </w:tc>
        <w:tc>
          <w:tcPr>
            <w:cnfStyle w:val="000000010000"/>
            <w:tcW w:w="4823" w:type="dxa"/>
          </w:tcPr>
          <w:p w14:paraId="00000011">
            <w:pPr>
              <w:pStyle w:val="Normal"/>
              <w:spacing w:before="40" w:beforeAutospacing="0" w:after="0" w:afterAutospacing="0" w:line="240" w:lineRule="auto"/>
              <w:ind w:right="98"/>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38.03.02 Менеджмент</w:t>
            </w:r>
          </w:p>
          <w:p w14:paraId="00000012">
            <w:pPr>
              <w:pStyle w:val="Normal"/>
              <w:spacing w:before="40" w:beforeAutospacing="0" w:after="0" w:afterAutospacing="0" w:line="240" w:lineRule="auto"/>
              <w:ind w:right="98"/>
              <w:rPr>
                <w:rFonts w:ascii="Times New Roman" w:cs="Times New Roman" w:eastAsia="Times New Roman" w:hAnsi="Times New Roman"/>
                <w:sz w:val="24"/>
                <w:szCs w:val="24"/>
              </w:rPr>
            </w:pPr>
          </w:p>
        </w:tc>
      </w:tr>
    </w:tbl>
    <w:p w14:paraId="00000013">
      <w:pPr>
        <w:pStyle w:val="Normal"/>
        <w:spacing w:before="40" w:beforeAutospacing="0" w:after="0" w:afterAutospacing="0" w:line="240" w:lineRule="auto"/>
        <w:ind w:left="-1620" w:right="98"/>
        <w:jc w:val="both"/>
        <w:rPr>
          <w:rFonts w:ascii="Times New Roman" w:cs="Times New Roman" w:eastAsia="Times New Roman" w:hAnsi="Times New Roman"/>
          <w:sz w:val="24"/>
          <w:szCs w:val="24"/>
        </w:rPr>
      </w:pPr>
    </w:p>
    <w:p w14:paraId="00000014">
      <w:pPr>
        <w:pStyle w:val="Normal"/>
        <w:spacing w:before="40" w:beforeAutospacing="0" w:after="0" w:afterAutospacing="0" w:line="240" w:lineRule="auto"/>
        <w:ind w:right="98"/>
        <w:jc w:val="center"/>
        <w:rPr>
          <w:rFonts w:ascii="Times New Roman" w:cs="Times New Roman" w:eastAsia="Times New Roman" w:hAnsi="Times New Roman"/>
          <w:b/>
          <w:bCs/>
          <w:sz w:val="32"/>
          <w:szCs w:val="32"/>
        </w:rPr>
      </w:pPr>
      <w:r>
        <w:rPr>
          <w:rFonts w:ascii="Times New Roman" w:cs="Times New Roman" w:eastAsia="Times New Roman" w:hAnsi="Times New Roman"/>
          <w:b/>
          <w:bCs/>
          <w:sz w:val="32"/>
          <w:szCs w:val="32"/>
        </w:rPr>
        <w:t>БАКАЛАВРСКАЯ РАБОТА</w:t>
      </w:r>
    </w:p>
    <w:p w14:paraId="00000015">
      <w:pPr>
        <w:pStyle w:val="Normal"/>
        <w:spacing w:before="40" w:beforeAutospacing="0" w:after="0" w:afterAutospacing="0" w:line="240" w:lineRule="auto"/>
        <w:ind w:right="96"/>
        <w:jc w:val="center"/>
        <w:rPr>
          <w:rFonts w:ascii="Times New Roman" w:cs="Times New Roman" w:eastAsia="Times New Roman" w:hAnsi="Times New Roman"/>
          <w:b/>
          <w:bCs/>
          <w:sz w:val="28"/>
          <w:szCs w:val="28"/>
          <w:u w:val="single"/>
        </w:rPr>
      </w:pPr>
      <w:r>
        <w:rPr>
          <w:rFonts w:ascii="Times New Roman" w:cs="Times New Roman" w:eastAsia="Times New Roman" w:hAnsi="Times New Roman"/>
          <w:sz w:val="32"/>
          <w:szCs w:val="32"/>
        </w:rPr>
        <w:t>на тему</w:t>
      </w:r>
    </w:p>
    <w:p w14:paraId="00000016">
      <w:pPr>
        <w:pStyle w:val="Normal"/>
        <w:spacing w:before="40" w:beforeAutospacing="0" w:after="0" w:afterAutospacing="0" w:line="240" w:lineRule="auto"/>
        <w:ind w:right="96"/>
        <w:jc w:val="center"/>
        <w:rPr>
          <w:rFonts w:ascii="Times New Roman" w:cs="Times New Roman" w:eastAsia="Times New Roman" w:hAnsi="Times New Roman"/>
          <w:b/>
          <w:bCs/>
          <w:sz w:val="28"/>
          <w:szCs w:val="28"/>
          <w:u w:val="single"/>
        </w:rPr>
      </w:pPr>
    </w:p>
    <w:p w14:paraId="00000017">
      <w:pPr>
        <w:pStyle w:val="Normal"/>
        <w:widowControl w:val="off"/>
        <w:spacing w:before="40" w:beforeAutospacing="0" w:after="0" w:afterAutospacing="0" w:line="240" w:lineRule="auto"/>
        <w:jc w:val="center"/>
        <w:rPr>
          <w:rFonts w:ascii="Times New Roman" w:cs="Times New Roman" w:eastAsia="Times New Roman" w:hAnsi="Times New Roman"/>
          <w:b/>
          <w:bCs/>
          <w:sz w:val="32"/>
          <w:szCs w:val="32"/>
        </w:rPr>
      </w:pPr>
      <w:r>
        <w:rPr>
          <w:rFonts w:ascii="Times New Roman" w:cs="Times New Roman" w:eastAsia="Times New Roman" w:hAnsi="Times New Roman"/>
          <w:b/>
          <w:bCs/>
          <w:sz w:val="32"/>
          <w:szCs w:val="32"/>
        </w:rPr>
        <w:t xml:space="preserve">«Разработка </w:t>
      </w:r>
      <w:r>
        <w:rPr>
          <w:rFonts w:ascii="Times New Roman" w:cs="Times New Roman" w:eastAsia="Times New Roman" w:hAnsi="Times New Roman"/>
          <w:b/>
          <w:bCs/>
          <w:sz w:val="32"/>
          <w:szCs w:val="32"/>
        </w:rPr>
        <w:t>бизнес-плана</w:t>
      </w:r>
      <w:r>
        <w:rPr>
          <w:rFonts w:ascii="Times New Roman" w:cs="Times New Roman" w:eastAsia="Times New Roman" w:hAnsi="Times New Roman"/>
          <w:b/>
          <w:bCs/>
          <w:sz w:val="32"/>
          <w:szCs w:val="32"/>
        </w:rPr>
        <w:t xml:space="preserve"> создания предприятия по производству </w:t>
      </w:r>
      <w:r>
        <w:rPr>
          <w:rFonts w:ascii="Times New Roman" w:cs="Times New Roman" w:eastAsia="Times New Roman" w:hAnsi="Times New Roman"/>
          <w:b/>
          <w:bCs/>
          <w:sz w:val="32"/>
          <w:szCs w:val="32"/>
        </w:rPr>
        <w:t>гиперпрессованного</w:t>
      </w:r>
      <w:r>
        <w:rPr>
          <w:rFonts w:ascii="Times New Roman" w:cs="Times New Roman" w:eastAsia="Times New Roman" w:hAnsi="Times New Roman"/>
          <w:b/>
          <w:bCs/>
          <w:sz w:val="32"/>
          <w:szCs w:val="32"/>
        </w:rPr>
        <w:t xml:space="preserve"> кирпича</w:t>
      </w:r>
      <w:r>
        <w:rPr>
          <w:rFonts w:ascii="Times New Roman" w:cs="Times New Roman" w:eastAsia="Times New Roman" w:hAnsi="Times New Roman"/>
          <w:b/>
          <w:bCs/>
          <w:sz w:val="32"/>
          <w:szCs w:val="32"/>
        </w:rPr>
        <w:t>»</w:t>
      </w:r>
    </w:p>
    <w:p w14:paraId="00000018">
      <w:pPr>
        <w:pStyle w:val="Normal"/>
        <w:spacing w:before="40" w:beforeAutospacing="0" w:after="0" w:afterAutospacing="0" w:line="240" w:lineRule="auto"/>
        <w:ind w:right="96"/>
        <w:jc w:val="center"/>
        <w:rPr>
          <w:rFonts w:ascii="Times New Roman" w:cs="Times New Roman" w:eastAsia="Times New Roman" w:hAnsi="Times New Roman"/>
          <w:sz w:val="32"/>
          <w:szCs w:val="32"/>
        </w:rPr>
      </w:pPr>
    </w:p>
    <w:p w14:paraId="00000019">
      <w:pPr>
        <w:pStyle w:val="Normal"/>
        <w:spacing w:before="40" w:beforeAutospacing="0" w:after="0" w:afterAutospacing="0" w:line="240" w:lineRule="auto"/>
        <w:ind w:right="96"/>
        <w:jc w:val="center"/>
        <w:rPr>
          <w:rFonts w:ascii="Times New Roman" w:cs="Times New Roman" w:eastAsia="Times New Roman" w:hAnsi="Times New Roman"/>
          <w:sz w:val="32"/>
          <w:szCs w:val="32"/>
        </w:rPr>
      </w:pPr>
    </w:p>
    <w:tbl>
      <w:tblPr>
        <w:tblStyle w:val="A6"/>
        <w:tblW w:w="10031" w:type="dxa"/>
        <w:tblInd w:w="0" w:type="dxa"/>
        <w:tblLayout w:type="fixed"/>
        <w:tblLook w:val="0400"/>
      </w:tblPr>
      <w:tblGrid>
        <w:gridCol w:w="3369"/>
        <w:gridCol w:w="3118"/>
        <w:gridCol w:w="3544"/>
      </w:tblGrid>
      <w:tr>
        <w:trPr/>
        <w:tc>
          <w:tcPr>
            <w:cnfStyle w:val="000000100000"/>
            <w:tcW w:w="3369" w:type="dxa"/>
            <w:shd w:val="clear" w:color="auto" w:fill="auto"/>
          </w:tcPr>
          <w:p w14:paraId="0000001A">
            <w:pPr>
              <w:pStyle w:val="Normal"/>
              <w:spacing w:beforeAutospacing="0" w:after="0" w:afterAutospacing="0" w:line="240" w:lineRule="auto"/>
              <w:jc w:val="both"/>
              <w:rPr>
                <w:rFonts w:ascii="Times New Roman" w:cs="Times New Roman" w:eastAsia="Times New Roman" w:hAnsi="Times New Roman"/>
              </w:rPr>
            </w:pPr>
            <w:r>
              <w:rPr>
                <w:rFonts w:ascii="Times New Roman" w:cs="Times New Roman" w:eastAsia="Times New Roman" w:hAnsi="Times New Roman"/>
                <w:b/>
                <w:bCs/>
              </w:rPr>
              <w:t>Студент</w:t>
            </w:r>
            <w:r>
              <w:rPr>
                <w:rFonts w:ascii="Times New Roman" w:cs="Times New Roman" w:eastAsia="Times New Roman" w:hAnsi="Times New Roman"/>
              </w:rPr>
              <w:t xml:space="preserve"> гр. 22ЭМ1 </w:t>
            </w:r>
          </w:p>
        </w:tc>
        <w:tc>
          <w:tcPr>
            <w:cnfStyle w:val="000000100000"/>
            <w:tcW w:w="3118" w:type="dxa"/>
            <w:shd w:val="clear" w:color="auto" w:fill="auto"/>
          </w:tcPr>
          <w:p w14:paraId="0000001B">
            <w:pPr>
              <w:pStyle w:val="Normal"/>
              <w:spacing w:beforeAutospacing="0" w:after="0" w:afterAutospacing="0" w:line="240" w:lineRule="auto"/>
              <w:jc w:val="center"/>
              <w:rPr>
                <w:rFonts w:ascii="Times New Roman" w:cs="Times New Roman" w:eastAsia="Times New Roman" w:hAnsi="Times New Roman"/>
              </w:rPr>
            </w:pPr>
            <w:r>
              <w:rPr>
                <w:rFonts w:ascii="Times New Roman" w:cs="Times New Roman" w:eastAsia="Times New Roman" w:hAnsi="Times New Roman"/>
              </w:rPr>
              <w:t>_______________________</w:t>
            </w:r>
          </w:p>
          <w:p w14:paraId="0000001C">
            <w:pPr>
              <w:pStyle w:val="Normal"/>
              <w:spacing w:beforeAutospacing="0" w:after="0" w:afterAutospacing="0" w:line="240" w:lineRule="auto"/>
              <w:jc w:val="center"/>
              <w:rPr>
                <w:rFonts w:ascii="Times New Roman" w:cs="Times New Roman" w:eastAsia="Times New Roman" w:hAnsi="Times New Roman"/>
              </w:rPr>
            </w:pPr>
            <w:r>
              <w:rPr>
                <w:rFonts w:ascii="Times New Roman" w:cs="Times New Roman" w:eastAsia="Times New Roman" w:hAnsi="Times New Roman"/>
                <w:sz w:val="16"/>
                <w:szCs w:val="16"/>
              </w:rPr>
              <w:t>(подпись, дата)</w:t>
            </w:r>
          </w:p>
        </w:tc>
        <w:tc>
          <w:tcPr>
            <w:cnfStyle w:val="000000100000"/>
            <w:tcW w:w="3544" w:type="dxa"/>
            <w:shd w:val="clear" w:color="auto" w:fill="auto"/>
          </w:tcPr>
          <w:p w14:paraId="0000001D">
            <w:pPr>
              <w:pStyle w:val="Normal"/>
              <w:spacing w:beforeAutospacing="0" w:after="0" w:afterAutospacing="0" w:line="288" w:lineRule="auto"/>
              <w:rPr>
                <w:rFonts w:ascii="Times New Roman" w:cs="Times New Roman" w:eastAsia="Times New Roman" w:hAnsi="Times New Roman"/>
              </w:rPr>
            </w:pPr>
            <w:r>
              <w:rPr>
                <w:rFonts w:ascii="Times New Roman" w:cs="Times New Roman" w:eastAsia="Times New Roman" w:hAnsi="Times New Roman"/>
              </w:rPr>
              <w:t>Проскурнов</w:t>
            </w:r>
            <w:r>
              <w:rPr>
                <w:rFonts w:ascii="Times New Roman" w:cs="Times New Roman" w:eastAsia="Times New Roman" w:hAnsi="Times New Roman"/>
              </w:rPr>
              <w:t xml:space="preserve"> Никита</w:t>
            </w:r>
            <w:r>
              <w:rPr>
                <w:rFonts w:ascii="Times New Roman" w:cs="Times New Roman" w:eastAsia="Times New Roman" w:hAnsi="Times New Roman"/>
              </w:rPr>
              <w:t xml:space="preserve"> </w:t>
            </w:r>
            <w:r>
              <w:rPr>
                <w:rFonts w:ascii="Times New Roman" w:cs="Times New Roman" w:eastAsia="Times New Roman" w:hAnsi="Times New Roman"/>
              </w:rPr>
              <w:t>Витальевич</w:t>
            </w:r>
          </w:p>
        </w:tc>
      </w:tr>
      <w:tr>
        <w:trPr/>
        <w:tc>
          <w:tcPr>
            <w:cnfStyle w:val="000000010000"/>
            <w:tcW w:w="3369" w:type="dxa"/>
            <w:shd w:val="clear" w:color="auto" w:fill="auto"/>
          </w:tcPr>
          <w:p w14:paraId="0000001E">
            <w:pPr>
              <w:pStyle w:val="Normal"/>
              <w:spacing w:beforeAutospacing="0" w:after="0" w:afterAutospacing="0" w:line="240" w:lineRule="auto"/>
              <w:jc w:val="both"/>
              <w:rPr>
                <w:rFonts w:ascii="Times New Roman" w:cs="Times New Roman" w:eastAsia="Times New Roman" w:hAnsi="Times New Roman"/>
                <w:sz w:val="16"/>
                <w:szCs w:val="16"/>
              </w:rPr>
            </w:pPr>
          </w:p>
        </w:tc>
        <w:tc>
          <w:tcPr>
            <w:cnfStyle w:val="000000010000"/>
            <w:tcW w:w="3118" w:type="dxa"/>
            <w:shd w:val="clear" w:color="auto" w:fill="auto"/>
          </w:tcPr>
          <w:p w14:paraId="0000001F">
            <w:pPr>
              <w:pStyle w:val="Normal"/>
              <w:spacing w:beforeAutospacing="0" w:after="0" w:afterAutospacing="0" w:line="240" w:lineRule="auto"/>
              <w:jc w:val="center"/>
              <w:rPr>
                <w:rFonts w:ascii="Times New Roman" w:cs="Times New Roman" w:eastAsia="Times New Roman" w:hAnsi="Times New Roman"/>
                <w:sz w:val="16"/>
                <w:szCs w:val="16"/>
              </w:rPr>
            </w:pPr>
          </w:p>
        </w:tc>
        <w:tc>
          <w:tcPr>
            <w:cnfStyle w:val="000000010000"/>
            <w:tcW w:w="3544" w:type="dxa"/>
            <w:shd w:val="clear" w:color="auto" w:fill="auto"/>
          </w:tcPr>
          <w:p w14:paraId="00000020">
            <w:pPr>
              <w:pStyle w:val="Normal"/>
              <w:spacing w:beforeAutospacing="0" w:after="0" w:afterAutospacing="0" w:line="240" w:lineRule="auto"/>
              <w:jc w:val="both"/>
              <w:rPr>
                <w:rFonts w:ascii="Times New Roman" w:cs="Times New Roman" w:eastAsia="Times New Roman" w:hAnsi="Times New Roman"/>
                <w:sz w:val="16"/>
                <w:szCs w:val="16"/>
              </w:rPr>
            </w:pPr>
          </w:p>
        </w:tc>
      </w:tr>
      <w:tr>
        <w:trPr/>
        <w:tc>
          <w:tcPr>
            <w:cnfStyle w:val="000000100000"/>
            <w:tcW w:w="3369" w:type="dxa"/>
            <w:shd w:val="clear" w:color="auto" w:fill="auto"/>
          </w:tcPr>
          <w:p w14:paraId="00000021">
            <w:pPr>
              <w:pStyle w:val="Normal"/>
              <w:tabs>
                <w:tab w:val="left" w:pos="7740"/>
                <w:tab w:val="left" w:pos="7920"/>
              </w:tabs>
              <w:spacing w:beforeAutospacing="0" w:after="0" w:afterAutospacing="0" w:line="240" w:lineRule="auto"/>
              <w:jc w:val="both"/>
              <w:rPr>
                <w:rFonts w:ascii="Times New Roman" w:cs="Times New Roman" w:eastAsia="Times New Roman" w:hAnsi="Times New Roman"/>
              </w:rPr>
            </w:pPr>
            <w:r>
              <w:rPr>
                <w:rFonts w:ascii="Times New Roman" w:cs="Times New Roman" w:eastAsia="Times New Roman" w:hAnsi="Times New Roman"/>
                <w:b/>
                <w:bCs/>
              </w:rPr>
              <w:t>Руководитель</w:t>
            </w:r>
            <w:r>
              <w:rPr>
                <w:rFonts w:ascii="Times New Roman" w:cs="Times New Roman" w:eastAsia="Times New Roman" w:hAnsi="Times New Roman"/>
              </w:rPr>
              <w:t xml:space="preserve"> </w:t>
            </w:r>
            <w:r>
              <w:rPr>
                <w:rFonts w:ascii="Times New Roman" w:cs="Times New Roman" w:eastAsia="Times New Roman" w:hAnsi="Times New Roman"/>
              </w:rPr>
              <w:t>к</w:t>
            </w:r>
            <w:r>
              <w:rPr>
                <w:rFonts w:ascii="Times New Roman" w:cs="Times New Roman" w:eastAsia="Times New Roman" w:hAnsi="Times New Roman"/>
              </w:rPr>
              <w:t>.</w:t>
            </w:r>
            <w:r>
              <w:rPr>
                <w:rFonts w:ascii="Times New Roman" w:cs="Times New Roman" w:eastAsia="Times New Roman" w:hAnsi="Times New Roman"/>
              </w:rPr>
              <w:t>с</w:t>
            </w:r>
            <w:r>
              <w:rPr>
                <w:rFonts w:ascii="Times New Roman" w:cs="Times New Roman" w:eastAsia="Times New Roman" w:hAnsi="Times New Roman"/>
              </w:rPr>
              <w:t>.н., доцент</w:t>
            </w:r>
          </w:p>
        </w:tc>
        <w:tc>
          <w:tcPr>
            <w:cnfStyle w:val="000000100000"/>
            <w:tcW w:w="3118" w:type="dxa"/>
            <w:shd w:val="clear" w:color="auto" w:fill="auto"/>
          </w:tcPr>
          <w:p w14:paraId="00000022">
            <w:pPr>
              <w:pStyle w:val="Normal"/>
              <w:spacing w:beforeAutospacing="0" w:after="0" w:afterAutospacing="0" w:line="240" w:lineRule="auto"/>
              <w:jc w:val="center"/>
              <w:rPr>
                <w:rFonts w:ascii="Times New Roman" w:cs="Times New Roman" w:eastAsia="Times New Roman" w:hAnsi="Times New Roman"/>
              </w:rPr>
            </w:pPr>
            <w:r>
              <w:rPr>
                <w:rFonts w:ascii="Times New Roman" w:cs="Times New Roman" w:eastAsia="Times New Roman" w:hAnsi="Times New Roman"/>
              </w:rPr>
              <w:t>_______________________</w:t>
            </w:r>
          </w:p>
          <w:p w14:paraId="00000023">
            <w:pPr>
              <w:pStyle w:val="Normal"/>
              <w:spacing w:beforeAutospacing="0" w:after="0" w:afterAutospacing="0" w:line="240" w:lineRule="auto"/>
              <w:rPr>
                <w:rFonts w:ascii="Times New Roman" w:cs="Times New Roman" w:eastAsia="Times New Roman" w:hAnsi="Times New Roman"/>
              </w:rPr>
            </w:pPr>
            <w:r>
              <w:rPr>
                <w:rFonts w:ascii="Times New Roman" w:cs="Times New Roman" w:eastAsia="Times New Roman" w:hAnsi="Times New Roman"/>
                <w:sz w:val="16"/>
                <w:szCs w:val="16"/>
              </w:rPr>
              <w:t xml:space="preserve">                      (подпись, дата)</w:t>
            </w:r>
          </w:p>
        </w:tc>
        <w:tc>
          <w:tcPr>
            <w:cnfStyle w:val="000000100000"/>
            <w:tcW w:w="3544" w:type="dxa"/>
            <w:shd w:val="clear" w:color="auto" w:fill="auto"/>
          </w:tcPr>
          <w:p w14:paraId="00000024">
            <w:pPr>
              <w:pStyle w:val="Normal"/>
              <w:spacing w:beforeAutospacing="0" w:after="0" w:afterAutospacing="0" w:line="240" w:lineRule="auto"/>
              <w:jc w:val="both"/>
              <w:rPr>
                <w:rFonts w:ascii="Times New Roman" w:cs="Times New Roman" w:eastAsia="Times New Roman" w:hAnsi="Times New Roman"/>
              </w:rPr>
            </w:pPr>
            <w:r>
              <w:rPr>
                <w:rFonts w:ascii="Times New Roman" w:cs="Times New Roman" w:eastAsia="Times New Roman" w:hAnsi="Times New Roman"/>
              </w:rPr>
              <w:t>Ищенко</w:t>
            </w:r>
            <w:r>
              <w:rPr>
                <w:rFonts w:ascii="Times New Roman" w:cs="Times New Roman" w:eastAsia="Times New Roman" w:hAnsi="Times New Roman"/>
              </w:rPr>
              <w:t xml:space="preserve"> Ирина Геннадьевна</w:t>
            </w:r>
          </w:p>
        </w:tc>
      </w:tr>
      <w:tr>
        <w:trPr/>
        <w:tc>
          <w:tcPr>
            <w:cnfStyle w:val="000000010000"/>
            <w:tcW w:w="3369" w:type="dxa"/>
            <w:shd w:val="clear" w:color="auto" w:fill="auto"/>
          </w:tcPr>
          <w:p w14:paraId="00000025">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010000"/>
            <w:tcW w:w="3118" w:type="dxa"/>
            <w:shd w:val="clear" w:color="auto" w:fill="auto"/>
          </w:tcPr>
          <w:p w14:paraId="00000026">
            <w:pPr>
              <w:pStyle w:val="Normal"/>
              <w:spacing w:beforeAutospacing="0" w:after="0" w:afterAutospacing="0" w:line="240" w:lineRule="auto"/>
              <w:jc w:val="both"/>
              <w:rPr>
                <w:rFonts w:ascii="Times New Roman" w:cs="Times New Roman" w:eastAsia="Times New Roman" w:hAnsi="Times New Roman"/>
                <w:sz w:val="16"/>
                <w:szCs w:val="16"/>
              </w:rPr>
            </w:pPr>
          </w:p>
        </w:tc>
        <w:tc>
          <w:tcPr>
            <w:cnfStyle w:val="000000010000"/>
            <w:tcW w:w="3544" w:type="dxa"/>
            <w:shd w:val="clear" w:color="auto" w:fill="auto"/>
          </w:tcPr>
          <w:p w14:paraId="00000027">
            <w:pPr>
              <w:pStyle w:val="Normal"/>
              <w:spacing w:beforeAutospacing="0" w:after="0" w:afterAutospacing="0" w:line="240" w:lineRule="auto"/>
              <w:jc w:val="both"/>
              <w:rPr>
                <w:rFonts w:ascii="Times New Roman" w:cs="Times New Roman" w:eastAsia="Times New Roman" w:hAnsi="Times New Roman"/>
                <w:sz w:val="16"/>
                <w:szCs w:val="16"/>
              </w:rPr>
            </w:pPr>
          </w:p>
        </w:tc>
      </w:tr>
      <w:tr>
        <w:trPr/>
        <w:tc>
          <w:tcPr>
            <w:cnfStyle w:val="000000100000"/>
            <w:tcW w:w="3369" w:type="dxa"/>
            <w:shd w:val="clear" w:color="auto" w:fill="auto"/>
          </w:tcPr>
          <w:p w14:paraId="00000028">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118" w:type="dxa"/>
            <w:shd w:val="clear" w:color="auto" w:fill="auto"/>
          </w:tcPr>
          <w:p w14:paraId="00000029">
            <w:pPr>
              <w:pStyle w:val="Normal"/>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544" w:type="dxa"/>
            <w:shd w:val="clear" w:color="auto" w:fill="auto"/>
          </w:tcPr>
          <w:p w14:paraId="0000002A">
            <w:pPr>
              <w:pStyle w:val="Normal"/>
              <w:spacing w:beforeAutospacing="0" w:after="0" w:afterAutospacing="0" w:line="240" w:lineRule="auto"/>
              <w:jc w:val="both"/>
              <w:rPr>
                <w:rFonts w:ascii="Times New Roman" w:cs="Times New Roman" w:eastAsia="Times New Roman" w:hAnsi="Times New Roman"/>
                <w:sz w:val="16"/>
                <w:szCs w:val="16"/>
              </w:rPr>
            </w:pPr>
          </w:p>
        </w:tc>
      </w:tr>
      <w:tr>
        <w:trPr/>
        <w:tc>
          <w:tcPr>
            <w:cnfStyle w:val="000000010000"/>
            <w:tcW w:w="3369" w:type="dxa"/>
            <w:shd w:val="clear" w:color="auto" w:fill="auto"/>
          </w:tcPr>
          <w:p w14:paraId="0000002B">
            <w:pPr>
              <w:pStyle w:val="Normal"/>
              <w:tabs>
                <w:tab w:val="left" w:pos="7920"/>
              </w:tabs>
              <w:spacing w:beforeAutospacing="0" w:after="0" w:afterAutospacing="0" w:line="240" w:lineRule="auto"/>
              <w:jc w:val="both"/>
              <w:rPr>
                <w:rFonts w:ascii="Times New Roman" w:cs="Times New Roman" w:eastAsia="Times New Roman" w:hAnsi="Times New Roman"/>
              </w:rPr>
            </w:pPr>
            <w:r>
              <w:rPr>
                <w:rFonts w:ascii="Times New Roman" w:cs="Times New Roman" w:eastAsia="Times New Roman" w:hAnsi="Times New Roman"/>
                <w:b/>
                <w:bCs/>
              </w:rPr>
              <w:t>Нормоконтролер</w:t>
            </w:r>
            <w:r>
              <w:rPr>
                <w:rFonts w:ascii="Times New Roman" w:cs="Times New Roman" w:eastAsia="Times New Roman" w:hAnsi="Times New Roman"/>
              </w:rPr>
              <w:t xml:space="preserve"> </w:t>
            </w:r>
            <w:r>
              <w:rPr>
                <w:rFonts w:ascii="Times New Roman" w:cs="Times New Roman" w:eastAsia="Times New Roman" w:hAnsi="Times New Roman"/>
              </w:rPr>
              <w:t>к</w:t>
            </w:r>
            <w:r>
              <w:rPr>
                <w:rFonts w:ascii="Times New Roman" w:cs="Times New Roman" w:eastAsia="Times New Roman" w:hAnsi="Times New Roman"/>
              </w:rPr>
              <w:t>.э.н</w:t>
            </w:r>
            <w:r>
              <w:rPr>
                <w:rFonts w:ascii="Times New Roman" w:cs="Times New Roman" w:eastAsia="Times New Roman" w:hAnsi="Times New Roman"/>
              </w:rPr>
              <w:t xml:space="preserve">., доцент </w:t>
            </w:r>
          </w:p>
        </w:tc>
        <w:tc>
          <w:tcPr>
            <w:cnfStyle w:val="000000010000"/>
            <w:tcW w:w="3118" w:type="dxa"/>
            <w:shd w:val="clear" w:color="auto" w:fill="auto"/>
          </w:tcPr>
          <w:p w14:paraId="0000002C">
            <w:pPr>
              <w:pStyle w:val="Normal"/>
              <w:spacing w:beforeAutospacing="0" w:after="0" w:afterAutospacing="0" w:line="240" w:lineRule="auto"/>
              <w:jc w:val="center"/>
              <w:rPr>
                <w:rFonts w:ascii="Times New Roman" w:cs="Times New Roman" w:eastAsia="Times New Roman" w:hAnsi="Times New Roman"/>
              </w:rPr>
            </w:pPr>
            <w:r>
              <w:rPr>
                <w:rFonts w:ascii="Times New Roman" w:cs="Times New Roman" w:eastAsia="Times New Roman" w:hAnsi="Times New Roman"/>
              </w:rPr>
              <w:t>_______________________</w:t>
            </w:r>
          </w:p>
          <w:p w14:paraId="0000002D">
            <w:pPr>
              <w:pStyle w:val="Normal"/>
              <w:spacing w:beforeAutospacing="0" w:after="0" w:afterAutospacing="0" w:line="240" w:lineRule="auto"/>
              <w:jc w:val="center"/>
              <w:rPr>
                <w:rFonts w:ascii="Times New Roman" w:cs="Times New Roman" w:eastAsia="Times New Roman" w:hAnsi="Times New Roman"/>
              </w:rPr>
            </w:pPr>
            <w:r>
              <w:rPr>
                <w:rFonts w:ascii="Times New Roman" w:cs="Times New Roman" w:eastAsia="Times New Roman" w:hAnsi="Times New Roman"/>
                <w:sz w:val="16"/>
                <w:szCs w:val="16"/>
              </w:rPr>
              <w:t>(подпись, дата)</w:t>
            </w:r>
          </w:p>
        </w:tc>
        <w:tc>
          <w:tcPr>
            <w:cnfStyle w:val="000000010000"/>
            <w:tcW w:w="3544" w:type="dxa"/>
            <w:shd w:val="clear" w:color="auto" w:fill="auto"/>
          </w:tcPr>
          <w:p w14:paraId="0000002E">
            <w:pPr>
              <w:pStyle w:val="Normal"/>
              <w:spacing w:beforeAutospacing="0" w:after="0" w:afterAutospacing="0" w:line="240" w:lineRule="auto"/>
              <w:jc w:val="both"/>
              <w:rPr>
                <w:rFonts w:ascii="Times New Roman" w:cs="Times New Roman" w:eastAsia="Times New Roman" w:hAnsi="Times New Roman"/>
              </w:rPr>
            </w:pPr>
            <w:r>
              <w:rPr>
                <w:rFonts w:ascii="Times New Roman" w:cs="Times New Roman" w:eastAsia="Times New Roman" w:hAnsi="Times New Roman"/>
              </w:rPr>
              <w:t xml:space="preserve">Дубина </w:t>
            </w:r>
            <w:r>
              <w:rPr>
                <w:rFonts w:ascii="Times New Roman" w:cs="Times New Roman" w:eastAsia="Times New Roman" w:hAnsi="Times New Roman"/>
              </w:rPr>
              <w:t>Гульсина</w:t>
            </w:r>
            <w:r>
              <w:rPr>
                <w:rFonts w:ascii="Times New Roman" w:cs="Times New Roman" w:eastAsia="Times New Roman" w:hAnsi="Times New Roman"/>
              </w:rPr>
              <w:t xml:space="preserve"> </w:t>
            </w:r>
            <w:r>
              <w:rPr>
                <w:rFonts w:ascii="Times New Roman" w:cs="Times New Roman" w:eastAsia="Times New Roman" w:hAnsi="Times New Roman"/>
              </w:rPr>
              <w:t>Ислямовна</w:t>
            </w:r>
          </w:p>
        </w:tc>
      </w:tr>
      <w:tr>
        <w:trPr>
          <w:trHeight w:val="70"/>
        </w:trPr>
        <w:tc>
          <w:tcPr>
            <w:cnfStyle w:val="000000100000"/>
            <w:tcW w:w="3369" w:type="dxa"/>
            <w:shd w:val="clear" w:color="auto" w:fill="auto"/>
          </w:tcPr>
          <w:p w14:paraId="0000002F">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118" w:type="dxa"/>
            <w:shd w:val="clear" w:color="auto" w:fill="auto"/>
          </w:tcPr>
          <w:p w14:paraId="00000030">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544" w:type="dxa"/>
            <w:shd w:val="clear" w:color="auto" w:fill="auto"/>
          </w:tcPr>
          <w:p w14:paraId="00000031">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r>
      <w:tr>
        <w:trPr>
          <w:trHeight w:val="548" w:hRule="atLeast"/>
        </w:trPr>
        <w:tc>
          <w:tcPr>
            <w:cnfStyle w:val="000000010000"/>
            <w:tcW w:w="3369" w:type="dxa"/>
            <w:shd w:val="clear" w:color="auto" w:fill="auto"/>
          </w:tcPr>
          <w:p w14:paraId="00000032">
            <w:pPr>
              <w:pStyle w:val="Normal"/>
              <w:spacing w:beforeAutospacing="0" w:after="0" w:afterAutospacing="0" w:line="240" w:lineRule="auto"/>
              <w:jc w:val="both"/>
              <w:rPr>
                <w:rFonts w:ascii="Times New Roman" w:cs="Times New Roman" w:eastAsia="Times New Roman" w:hAnsi="Times New Roman"/>
                <w:sz w:val="16"/>
                <w:szCs w:val="16"/>
              </w:rPr>
            </w:pPr>
          </w:p>
        </w:tc>
        <w:tc>
          <w:tcPr>
            <w:cnfStyle w:val="000000010000"/>
            <w:tcW w:w="3118" w:type="dxa"/>
            <w:shd w:val="clear" w:color="auto" w:fill="auto"/>
          </w:tcPr>
          <w:p w14:paraId="00000033">
            <w:pPr>
              <w:pStyle w:val="Normal"/>
              <w:tabs>
                <w:tab w:val="left" w:pos="7740"/>
                <w:tab w:val="left" w:pos="7920"/>
              </w:tabs>
              <w:spacing w:beforeAutospacing="0" w:after="0" w:afterAutospacing="0" w:line="240" w:lineRule="auto"/>
              <w:jc w:val="center"/>
              <w:rPr>
                <w:rFonts w:ascii="Times New Roman" w:cs="Times New Roman" w:eastAsia="Times New Roman" w:hAnsi="Times New Roman"/>
                <w:sz w:val="16"/>
                <w:szCs w:val="16"/>
              </w:rPr>
            </w:pPr>
          </w:p>
        </w:tc>
        <w:tc>
          <w:tcPr>
            <w:cnfStyle w:val="000000010000"/>
            <w:tcW w:w="3544" w:type="dxa"/>
            <w:shd w:val="clear" w:color="auto" w:fill="auto"/>
          </w:tcPr>
          <w:p w14:paraId="00000034">
            <w:pPr>
              <w:pStyle w:val="Normal"/>
              <w:spacing w:beforeAutospacing="0" w:after="0" w:afterAutospacing="0" w:line="240" w:lineRule="auto"/>
              <w:jc w:val="both"/>
              <w:rPr>
                <w:rFonts w:ascii="Times New Roman" w:cs="Times New Roman" w:eastAsia="Times New Roman" w:hAnsi="Times New Roman"/>
              </w:rPr>
            </w:pPr>
          </w:p>
        </w:tc>
      </w:tr>
      <w:tr>
        <w:trPr/>
        <w:tc>
          <w:tcPr>
            <w:cnfStyle w:val="000000100000"/>
            <w:tcW w:w="3369" w:type="dxa"/>
            <w:shd w:val="clear" w:color="auto" w:fill="auto"/>
          </w:tcPr>
          <w:p w14:paraId="00000035">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118" w:type="dxa"/>
            <w:shd w:val="clear" w:color="auto" w:fill="auto"/>
          </w:tcPr>
          <w:p w14:paraId="00000036">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544" w:type="dxa"/>
            <w:shd w:val="clear" w:color="auto" w:fill="auto"/>
          </w:tcPr>
          <w:p w14:paraId="00000037">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r>
      <w:tr>
        <w:trPr>
          <w:trHeight w:val="276" w:hRule="atLeast"/>
        </w:trPr>
        <w:tc>
          <w:tcPr>
            <w:cnfStyle w:val="000000010000"/>
            <w:tcW w:w="3369" w:type="dxa"/>
            <w:shd w:val="clear" w:color="auto" w:fill="auto"/>
          </w:tcPr>
          <w:p w14:paraId="00000038">
            <w:pPr>
              <w:pStyle w:val="Normal"/>
              <w:tabs>
                <w:tab w:val="left" w:pos="7920"/>
              </w:tabs>
              <w:spacing w:beforeAutospacing="0" w:after="0" w:afterAutospacing="0" w:line="240" w:lineRule="auto"/>
              <w:jc w:val="both"/>
              <w:rPr>
                <w:rFonts w:ascii="Times New Roman" w:cs="Times New Roman" w:eastAsia="Times New Roman" w:hAnsi="Times New Roman"/>
              </w:rPr>
            </w:pPr>
          </w:p>
        </w:tc>
        <w:tc>
          <w:tcPr>
            <w:cnfStyle w:val="000000010000"/>
            <w:tcW w:w="3118" w:type="dxa"/>
            <w:shd w:val="clear" w:color="auto" w:fill="auto"/>
          </w:tcPr>
          <w:p w14:paraId="00000039">
            <w:pPr>
              <w:pStyle w:val="Normal"/>
              <w:tabs>
                <w:tab w:val="left" w:pos="7740"/>
                <w:tab w:val="left" w:pos="7920"/>
              </w:tabs>
              <w:spacing w:beforeAutospacing="0" w:after="0" w:afterAutospacing="0" w:line="240" w:lineRule="auto"/>
              <w:jc w:val="center"/>
              <w:rPr>
                <w:rFonts w:ascii="Times New Roman" w:cs="Times New Roman" w:eastAsia="Times New Roman" w:hAnsi="Times New Roman"/>
                <w:sz w:val="16"/>
                <w:szCs w:val="16"/>
              </w:rPr>
            </w:pPr>
          </w:p>
        </w:tc>
        <w:tc>
          <w:tcPr>
            <w:cnfStyle w:val="000000010000"/>
            <w:tcW w:w="3544" w:type="dxa"/>
            <w:shd w:val="clear" w:color="auto" w:fill="auto"/>
          </w:tcPr>
          <w:p w14:paraId="0000003A">
            <w:pPr>
              <w:pStyle w:val="Normal"/>
              <w:spacing w:beforeAutospacing="0" w:after="0" w:afterAutospacing="0" w:line="240" w:lineRule="auto"/>
              <w:jc w:val="both"/>
              <w:rPr>
                <w:rFonts w:ascii="Times New Roman" w:cs="Times New Roman" w:eastAsia="Times New Roman" w:hAnsi="Times New Roman"/>
              </w:rPr>
            </w:pPr>
          </w:p>
        </w:tc>
      </w:tr>
      <w:tr>
        <w:trPr/>
        <w:tc>
          <w:tcPr>
            <w:cnfStyle w:val="000000100000"/>
            <w:tcW w:w="3369" w:type="dxa"/>
          </w:tcPr>
          <w:p w14:paraId="0000003B">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118" w:type="dxa"/>
          </w:tcPr>
          <w:p w14:paraId="0000003C">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c>
          <w:tcPr>
            <w:cnfStyle w:val="000000100000"/>
            <w:tcW w:w="3544" w:type="dxa"/>
          </w:tcPr>
          <w:p w14:paraId="0000003D">
            <w:pPr>
              <w:pStyle w:val="Normal"/>
              <w:tabs>
                <w:tab w:val="left" w:pos="7740"/>
                <w:tab w:val="left" w:pos="7920"/>
              </w:tabs>
              <w:spacing w:beforeAutospacing="0" w:after="0" w:afterAutospacing="0" w:line="240" w:lineRule="auto"/>
              <w:jc w:val="both"/>
              <w:rPr>
                <w:rFonts w:ascii="Times New Roman" w:cs="Times New Roman" w:eastAsia="Times New Roman" w:hAnsi="Times New Roman"/>
                <w:sz w:val="16"/>
                <w:szCs w:val="16"/>
              </w:rPr>
            </w:pPr>
          </w:p>
        </w:tc>
      </w:tr>
    </w:tbl>
    <w:p w14:paraId="0000003E">
      <w:pPr>
        <w:pStyle w:val="Normal"/>
        <w:spacing w:before="40" w:beforeAutospacing="0" w:after="0" w:afterAutospacing="0" w:line="240" w:lineRule="auto"/>
        <w:ind w:right="-3391"/>
        <w:jc w:val="both"/>
        <w:rPr>
          <w:rFonts w:ascii="Times New Roman" w:cs="Times New Roman" w:eastAsia="Times New Roman" w:hAnsi="Times New Roman"/>
          <w:sz w:val="16"/>
          <w:szCs w:val="16"/>
        </w:rPr>
      </w:pPr>
    </w:p>
    <w:p w14:paraId="0000003F">
      <w:pPr>
        <w:pStyle w:val="Normal"/>
        <w:spacing w:beforeAutospacing="0" w:after="0" w:afterAutospacing="0" w:line="240" w:lineRule="auto"/>
        <w:ind w:right="-3391"/>
        <w:jc w:val="both"/>
        <w:rPr>
          <w:rFonts w:ascii="Times New Roman" w:cs="Times New Roman" w:eastAsia="Times New Roman" w:hAnsi="Times New Roman"/>
        </w:rPr>
      </w:pPr>
      <w:r>
        <w:rPr>
          <w:rFonts w:ascii="Times New Roman" w:cs="Times New Roman" w:eastAsia="Times New Roman" w:hAnsi="Times New Roman"/>
          <w:i/>
          <w:iCs/>
        </w:rPr>
        <w:t>Работа допущена к защите</w:t>
      </w:r>
      <w:r>
        <w:rPr>
          <w:rFonts w:ascii="Times New Roman" w:cs="Times New Roman" w:eastAsia="Times New Roman" w:hAnsi="Times New Roman"/>
        </w:rPr>
        <w:t xml:space="preserve">     (протокол заседания кафедры </w:t>
      </w:r>
      <w:r>
        <w:rPr>
          <w:rFonts w:ascii="Times New Roman" w:cs="Times New Roman" w:eastAsia="Times New Roman" w:hAnsi="Times New Roman"/>
        </w:rPr>
        <w:t>от</w:t>
      </w:r>
      <w:r>
        <w:rPr>
          <w:rFonts w:ascii="Times New Roman" w:cs="Times New Roman" w:eastAsia="Times New Roman" w:hAnsi="Times New Roman"/>
        </w:rPr>
        <w:t xml:space="preserve"> __________________ №______)</w:t>
      </w:r>
    </w:p>
    <w:p w14:paraId="00000040">
      <w:pPr>
        <w:pStyle w:val="Normal"/>
        <w:spacing w:beforeAutospacing="0" w:after="0" w:afterAutospacing="0" w:line="240" w:lineRule="auto"/>
        <w:ind w:right="-3391"/>
        <w:jc w:val="both"/>
        <w:rPr>
          <w:rFonts w:ascii="Times New Roman" w:cs="Times New Roman" w:eastAsia="Times New Roman" w:hAnsi="Times New Roman"/>
        </w:rPr>
      </w:pPr>
    </w:p>
    <w:p w14:paraId="00000041">
      <w:pPr>
        <w:pStyle w:val="Normal"/>
        <w:spacing w:beforeAutospacing="0" w:after="0" w:afterAutospacing="0" w:line="240" w:lineRule="auto"/>
        <w:ind w:right="-3391"/>
        <w:jc w:val="both"/>
        <w:rPr>
          <w:rFonts w:ascii="Times New Roman" w:cs="Times New Roman" w:eastAsia="Times New Roman" w:hAnsi="Times New Roman"/>
        </w:rPr>
      </w:pPr>
      <w:r>
        <w:rPr>
          <w:rFonts w:ascii="Times New Roman" w:cs="Times New Roman" w:eastAsia="Times New Roman" w:hAnsi="Times New Roman"/>
          <w:b/>
          <w:bCs/>
        </w:rPr>
        <w:t>Заведующий кафедрой</w:t>
      </w:r>
      <w:r>
        <w:rPr>
          <w:rFonts w:ascii="Times New Roman" w:cs="Times New Roman" w:eastAsia="Times New Roman" w:hAnsi="Times New Roman"/>
          <w:b/>
          <w:bCs/>
          <w:i/>
          <w:iCs/>
        </w:rPr>
        <w:tab/>
      </w:r>
      <w:r>
        <w:rPr>
          <w:rFonts w:ascii="Times New Roman" w:cs="Times New Roman" w:eastAsia="Times New Roman" w:hAnsi="Times New Roman"/>
          <w:b/>
          <w:bCs/>
          <w:i/>
          <w:iCs/>
        </w:rPr>
        <w:tab/>
      </w:r>
      <w:r>
        <w:rPr>
          <w:rFonts w:ascii="Times New Roman" w:cs="Times New Roman" w:eastAsia="Times New Roman" w:hAnsi="Times New Roman"/>
          <w:b/>
          <w:bCs/>
          <w:i/>
          <w:iCs/>
        </w:rPr>
        <w:tab/>
      </w:r>
      <w:r>
        <w:rPr>
          <w:rFonts w:ascii="Times New Roman" w:cs="Times New Roman" w:eastAsia="Times New Roman" w:hAnsi="Times New Roman"/>
        </w:rPr>
        <w:t>_________________</w:t>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Гамидуллаева</w:t>
      </w:r>
      <w:r>
        <w:rPr>
          <w:rFonts w:ascii="Times New Roman" w:cs="Times New Roman" w:eastAsia="Times New Roman" w:hAnsi="Times New Roman"/>
        </w:rPr>
        <w:t xml:space="preserve"> Л.А.</w:t>
      </w:r>
    </w:p>
    <w:p w14:paraId="00000042">
      <w:pPr>
        <w:pStyle w:val="Normal"/>
        <w:spacing w:beforeAutospacing="0" w:after="0" w:afterAutospacing="0" w:line="240" w:lineRule="auto"/>
        <w:jc w:val="center"/>
        <w:rPr>
          <w:rFonts w:ascii="Times New Roman" w:cs="Times New Roman" w:eastAsia="Times New Roman" w:hAnsi="Times New Roman"/>
          <w:sz w:val="16"/>
          <w:szCs w:val="16"/>
        </w:rPr>
      </w:pPr>
      <w:r>
        <w:rPr>
          <w:rFonts w:ascii="Times New Roman" w:cs="Times New Roman" w:eastAsia="Times New Roman" w:hAnsi="Times New Roman"/>
          <w:sz w:val="16"/>
          <w:szCs w:val="16"/>
        </w:rPr>
        <w:t>(подпись)</w:t>
      </w:r>
    </w:p>
    <w:p w14:paraId="00000043">
      <w:pPr>
        <w:pStyle w:val="Normal"/>
        <w:spacing w:beforeAutospacing="0" w:after="0" w:afterAutospacing="0" w:line="240" w:lineRule="auto"/>
        <w:ind w:right="-3391"/>
        <w:jc w:val="both"/>
        <w:rPr>
          <w:rFonts w:ascii="Times New Roman" w:cs="Times New Roman" w:eastAsia="Times New Roman" w:hAnsi="Times New Roman"/>
          <w:i/>
          <w:iCs/>
          <w:sz w:val="8"/>
          <w:szCs w:val="8"/>
        </w:rPr>
      </w:pPr>
    </w:p>
    <w:p w14:paraId="00000044">
      <w:pPr>
        <w:pStyle w:val="Normal"/>
        <w:spacing w:beforeAutospacing="0" w:after="0" w:afterAutospacing="0" w:line="240" w:lineRule="auto"/>
        <w:ind w:right="-3391"/>
        <w:jc w:val="both"/>
        <w:rPr>
          <w:rFonts w:ascii="Times New Roman" w:cs="Times New Roman" w:eastAsia="Times New Roman" w:hAnsi="Times New Roman"/>
        </w:rPr>
      </w:pPr>
      <w:r>
        <w:rPr>
          <w:rFonts w:ascii="Times New Roman" w:cs="Times New Roman" w:eastAsia="Times New Roman" w:hAnsi="Times New Roman"/>
          <w:i/>
          <w:iCs/>
        </w:rPr>
        <w:t>Работа защищена с оценкой</w:t>
      </w:r>
      <w:r>
        <w:rPr>
          <w:rFonts w:ascii="Times New Roman" w:cs="Times New Roman" w:eastAsia="Times New Roman" w:hAnsi="Times New Roman"/>
          <w:b/>
          <w:bCs/>
          <w:i/>
          <w:iCs/>
        </w:rPr>
        <w:t xml:space="preserve"> __________</w:t>
      </w:r>
      <w:r>
        <w:rPr>
          <w:rFonts w:ascii="Times New Roman" w:cs="Times New Roman" w:eastAsia="Times New Roman" w:hAnsi="Times New Roman"/>
        </w:rPr>
        <w:t xml:space="preserve">(протокол заседания ГЭК </w:t>
      </w:r>
      <w:r>
        <w:rPr>
          <w:rFonts w:ascii="Times New Roman" w:cs="Times New Roman" w:eastAsia="Times New Roman" w:hAnsi="Times New Roman"/>
        </w:rPr>
        <w:t>от</w:t>
      </w:r>
      <w:r>
        <w:rPr>
          <w:rFonts w:ascii="Times New Roman" w:cs="Times New Roman" w:eastAsia="Times New Roman" w:hAnsi="Times New Roman"/>
        </w:rPr>
        <w:t xml:space="preserve"> ______________ №_____)</w:t>
      </w:r>
    </w:p>
    <w:p w14:paraId="00000045">
      <w:pPr>
        <w:pStyle w:val="Normal"/>
        <w:spacing w:beforeAutospacing="0" w:after="0" w:afterAutospacing="0" w:line="240" w:lineRule="auto"/>
        <w:ind w:left="1701" w:right="-3391"/>
        <w:jc w:val="both"/>
        <w:rPr>
          <w:rFonts w:ascii="Times New Roman" w:cs="Times New Roman" w:eastAsia="Times New Roman" w:hAnsi="Times New Roman"/>
          <w:b/>
          <w:bCs/>
          <w:i/>
          <w:iCs/>
        </w:rPr>
      </w:pPr>
    </w:p>
    <w:p w14:paraId="00000046">
      <w:pPr>
        <w:pStyle w:val="Normal"/>
        <w:spacing w:beforeAutospacing="0" w:after="0" w:afterAutospacing="0" w:line="240" w:lineRule="auto"/>
        <w:ind w:right="-3391"/>
        <w:jc w:val="both"/>
        <w:rPr>
          <w:rFonts w:ascii="Times New Roman" w:cs="Times New Roman" w:eastAsia="Times New Roman" w:hAnsi="Times New Roman"/>
          <w:highlight w:val="yellow"/>
        </w:rPr>
      </w:pPr>
      <w:r>
        <w:rPr>
          <w:rFonts w:ascii="Times New Roman" w:cs="Times New Roman" w:eastAsia="Times New Roman" w:hAnsi="Times New Roman"/>
          <w:b/>
          <w:bCs/>
        </w:rPr>
        <w:t>Секретарь ГЭК</w:t>
      </w:r>
      <w:r>
        <w:rPr>
          <w:rFonts w:ascii="Times New Roman" w:cs="Times New Roman" w:eastAsia="Times New Roman" w:hAnsi="Times New Roman"/>
          <w:b/>
          <w:bCs/>
          <w:i/>
          <w:iCs/>
        </w:rPr>
        <w:tab/>
      </w:r>
      <w:r>
        <w:rPr>
          <w:rFonts w:ascii="Times New Roman" w:cs="Times New Roman" w:eastAsia="Times New Roman" w:hAnsi="Times New Roman"/>
          <w:b/>
          <w:bCs/>
          <w:i/>
          <w:iCs/>
        </w:rPr>
        <w:tab/>
      </w:r>
      <w:r>
        <w:rPr>
          <w:rFonts w:ascii="Times New Roman" w:cs="Times New Roman" w:eastAsia="Times New Roman" w:hAnsi="Times New Roman"/>
          <w:b/>
          <w:bCs/>
          <w:i/>
          <w:iCs/>
        </w:rPr>
        <w:tab/>
      </w:r>
      <w:r>
        <w:rPr>
          <w:rFonts w:ascii="Times New Roman" w:cs="Times New Roman" w:eastAsia="Times New Roman" w:hAnsi="Times New Roman"/>
          <w:b/>
          <w:bCs/>
          <w:i/>
          <w:iCs/>
        </w:rPr>
        <w:tab/>
        <w:t>__________________</w:t>
      </w:r>
      <w:r>
        <w:rPr>
          <w:rFonts w:ascii="Times New Roman" w:cs="Times New Roman" w:eastAsia="Times New Roman" w:hAnsi="Times New Roman"/>
          <w:b/>
          <w:bCs/>
          <w:i/>
          <w:iCs/>
        </w:rPr>
        <w:tab/>
      </w:r>
      <w:r>
        <w:rPr>
          <w:rFonts w:ascii="Times New Roman" w:cs="Times New Roman" w:eastAsia="Times New Roman" w:hAnsi="Times New Roman"/>
          <w:b/>
          <w:bCs/>
          <w:i/>
          <w:iCs/>
        </w:rPr>
        <w:tab/>
        <w:t xml:space="preserve"> </w:t>
      </w:r>
      <w:r>
        <w:rPr>
          <w:rFonts w:ascii="Times New Roman" w:cs="Times New Roman" w:eastAsia="Times New Roman" w:hAnsi="Times New Roman"/>
        </w:rPr>
        <w:t>Дубина Г.И.</w:t>
      </w:r>
    </w:p>
    <w:p w14:paraId="00000047">
      <w:pPr>
        <w:pStyle w:val="Normal"/>
        <w:spacing w:before="40" w:beforeAutospacing="0" w:after="0" w:afterAutospacing="0" w:line="240" w:lineRule="auto"/>
        <w:jc w:val="center"/>
        <w:rPr>
          <w:rFonts w:ascii="Times New Roman" w:cs="Times New Roman" w:eastAsia="Times New Roman" w:hAnsi="Times New Roman"/>
          <w:sz w:val="16"/>
          <w:szCs w:val="16"/>
        </w:rPr>
      </w:pPr>
      <w:r>
        <w:rPr>
          <w:rFonts w:ascii="Times New Roman" w:cs="Times New Roman" w:eastAsia="Times New Roman" w:hAnsi="Times New Roman"/>
          <w:sz w:val="16"/>
          <w:szCs w:val="16"/>
        </w:rPr>
        <w:t>(подпись)</w:t>
      </w:r>
    </w:p>
    <w:p w14:paraId="00000048">
      <w:pPr>
        <w:pStyle w:val="Normal"/>
        <w:spacing w:beforeAutospacing="0" w:after="0" w:afterAutospacing="0" w:line="240" w:lineRule="auto"/>
        <w:ind w:right="-3391"/>
        <w:jc w:val="both"/>
        <w:rPr>
          <w:rFonts w:ascii="Times New Roman" w:cs="Times New Roman" w:eastAsia="Times New Roman" w:hAnsi="Times New Roman"/>
          <w:sz w:val="28"/>
          <w:szCs w:val="28"/>
        </w:rPr>
      </w:pPr>
    </w:p>
    <w:p w14:paraId="00000049">
      <w:pPr>
        <w:pStyle w:val="Normal"/>
        <w:spacing w:before="40" w:beforeAutospacing="0" w:after="0" w:afterAutospacing="0" w:line="240" w:lineRule="auto"/>
        <w:ind w:right="-3391"/>
        <w:jc w:val="both"/>
        <w:rPr>
          <w:rFonts w:ascii="Times New Roman" w:cs="Times New Roman" w:eastAsia="Times New Roman" w:hAnsi="Times New Roman"/>
          <w:sz w:val="28"/>
          <w:szCs w:val="28"/>
        </w:rPr>
      </w:pPr>
    </w:p>
    <w:p w14:paraId="0000004A">
      <w:pPr>
        <w:pStyle w:val="Normal"/>
        <w:spacing w:before="40" w:beforeAutospacing="0" w:after="0" w:afterAutospacing="0" w:line="240" w:lineRule="auto"/>
        <w:ind w:left="3540" w:right="-3391" w:firstLine="708"/>
        <w:jc w:val="both"/>
        <w:rPr>
          <w:rFonts w:ascii="Times New Roman" w:cs="Times New Roman" w:eastAsia="Times New Roman" w:hAnsi="Times New Roman"/>
          <w:sz w:val="28"/>
          <w:szCs w:val="28"/>
        </w:rPr>
      </w:pPr>
    </w:p>
    <w:p w14:paraId="0000004B">
      <w:pPr>
        <w:pStyle w:val="Normal"/>
        <w:spacing w:before="40" w:beforeAutospacing="0" w:after="0" w:afterAutospacing="0" w:line="240" w:lineRule="auto"/>
        <w:ind w:left="3540" w:right="-3391" w:firstLine="708"/>
        <w:jc w:val="both"/>
        <w:rPr>
          <w:rFonts w:ascii="Times New Roman" w:cs="Times New Roman" w:eastAsia="Times New Roman" w:hAnsi="Times New Roman"/>
          <w:sz w:val="28"/>
          <w:szCs w:val="28"/>
        </w:rPr>
        <w:sectPr>
          <w:headerReference w:type="default" r:id="rId64"/>
          <w:footerReference w:type="default" r:id="rId65"/>
          <w:pgSz w:w="11909" w:h="16834"/>
          <w:pgMar w:top="1133" w:right="566" w:bottom="1133" w:left="1700" w:header="720" w:footer="720" w:gutter="0"/>
          <w:pgNumType w:start="1"/>
          <w:cols w:space="720"/>
        </w:sectPr>
      </w:pPr>
      <w:r>
        <w:rPr>
          <w:rFonts w:ascii="Times New Roman" w:cs="Times New Roman" w:eastAsia="Times New Roman" w:hAnsi="Times New Roman"/>
          <w:sz w:val="28"/>
          <w:szCs w:val="28"/>
        </w:rPr>
        <w:t>Пенза  2026</w:t>
      </w:r>
      <w:r>
        <w:rPr/>
        <w:drawing xmlns:mc="http://schemas.openxmlformats.org/markup-compatibility/2006">
          <wp:anchor allowOverlap="1" behindDoc="0" distT="114300" distB="114300" distL="114300" distR="114300" layoutInCell="1" locked="0" relativeHeight="2" simplePos="0">
            <wp:simplePos x="0" y="0"/>
            <wp:positionH relativeFrom="column">
              <wp:posOffset>2509838</wp:posOffset>
            </wp:positionH>
            <wp:positionV relativeFrom="paragraph">
              <wp:posOffset>369950</wp:posOffset>
            </wp:positionV>
            <wp:extent cx="1232768" cy="485231"/>
            <wp:effectExtent l="0" t="0" r="0" b="0"/>
            <wp:wrapNone/>
            <wp:docPr id="203" name="image1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15.png"/>
                    <pic:cNvPicPr preferRelativeResize="0"/>
                  </pic:nvPicPr>
                  <pic:blipFill>
                    <a:blip r:embed="rId66"/>
                    <a:srcRect/>
                    <a:stretch>
                      <a:fillRect/>
                    </a:stretch>
                  </pic:blipFill>
                  <pic:spPr>
                    <a:xfrm>
                      <a:off x="0" y="0"/>
                      <a:ext cx="1232768" cy="485231"/>
                    </a:xfrm>
                    <a:prstGeom prst="rect">
                      <a:avLst/>
                    </a:prstGeom>
                  </pic:spPr>
                </pic:pic>
              </a:graphicData>
            </a:graphic>
          </wp:anchor>
        </w:drawing>
      </w:r>
    </w:p>
    <w:p w14:paraId="0000004C">
      <w:pPr>
        <w:pStyle w:val="Normal"/>
        <w:widowControl w:val="off"/>
        <w:spacing w:before="40" w:beforeAutospacing="0" w:after="0" w:afterAutospacing="0" w:line="240" w:lineRule="auto"/>
        <w:ind w:right="98" w:firstLine="720"/>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МИНИСТЕРСТВО НАУКИ И ВЫСШЕГО ОБРАЗОВАНИЯ </w:t>
      </w:r>
    </w:p>
    <w:p w14:paraId="0000004D">
      <w:pPr>
        <w:pStyle w:val="Normal"/>
        <w:widowControl w:val="off"/>
        <w:spacing w:before="40" w:beforeAutospacing="0" w:after="0" w:afterAutospacing="0" w:line="240" w:lineRule="auto"/>
        <w:ind w:right="98"/>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РОССИЙСКОЙ ФЕДЕРАЦИИ</w:t>
      </w:r>
    </w:p>
    <w:p w14:paraId="0000004E">
      <w:pPr>
        <w:pStyle w:val="Normal"/>
        <w:widowControl w:val="off"/>
        <w:spacing w:before="40" w:beforeAutospacing="0" w:after="0" w:afterAutospacing="0" w:line="240" w:lineRule="auto"/>
        <w:ind w:right="98"/>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Федеральное государственное бюджетное образовательное учреждение </w:t>
      </w:r>
    </w:p>
    <w:p w14:paraId="0000004F">
      <w:pPr>
        <w:pStyle w:val="Normal"/>
        <w:widowControl w:val="off"/>
        <w:spacing w:before="40" w:beforeAutospacing="0" w:after="0" w:afterAutospacing="0" w:line="240" w:lineRule="auto"/>
        <w:ind w:right="98"/>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высшего образования</w:t>
      </w:r>
    </w:p>
    <w:p w14:paraId="00000050">
      <w:pPr>
        <w:pStyle w:val="Normal"/>
        <w:spacing w:beforeAutospacing="0" w:after="0" w:afterAutospacing="0" w:line="240" w:lineRule="auto"/>
        <w:jc w:val="center"/>
        <w:rPr>
          <w:rFonts w:ascii="Times New Roman" w:cs="Times New Roman" w:eastAsia="Times New Roman" w:hAnsi="Times New Roman"/>
          <w:sz w:val="28"/>
          <w:szCs w:val="28"/>
        </w:rPr>
      </w:pPr>
      <w:r>
        <w:rPr>
          <w:rFonts w:ascii="Times New Roman" w:cs="Times New Roman" w:eastAsia="Times New Roman" w:hAnsi="Times New Roman"/>
          <w:b/>
          <w:bCs/>
          <w:sz w:val="28"/>
          <w:szCs w:val="28"/>
        </w:rPr>
        <w:t>«ПЕНЗЕНСКИЙ ГОСУДАРСТВЕННЫЙ УНИВЕРСИТЕТ»</w:t>
      </w:r>
    </w:p>
    <w:p w14:paraId="00000051">
      <w:pPr>
        <w:pStyle w:val="Normal"/>
        <w:spacing w:beforeAutospacing="0" w:after="0" w:afterAutospacing="0" w:line="240" w:lineRule="auto"/>
        <w:jc w:val="center"/>
        <w:rPr>
          <w:rFonts w:ascii="Times New Roman" w:cs="Times New Roman" w:eastAsia="Times New Roman" w:hAnsi="Times New Roman"/>
          <w:sz w:val="28"/>
          <w:szCs w:val="28"/>
        </w:rPr>
      </w:pPr>
    </w:p>
    <w:p w14:paraId="00000052">
      <w:pPr>
        <w:pStyle w:val="Normal"/>
        <w:spacing w:beforeAutospacing="0" w:after="0" w:afterAutospacing="0" w:line="240" w:lineRule="auto"/>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Кафедра «Менеджмент и государственное управление»</w:t>
      </w:r>
    </w:p>
    <w:p w14:paraId="00000053">
      <w:pPr>
        <w:pStyle w:val="Normal"/>
        <w:spacing w:beforeAutospacing="0" w:after="0" w:afterAutospacing="0" w:line="240" w:lineRule="auto"/>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Направление 38.03.02 Менеджмент</w:t>
      </w:r>
    </w:p>
    <w:p w14:paraId="00000054">
      <w:pPr>
        <w:pStyle w:val="Normal"/>
        <w:spacing w:beforeAutospacing="0" w:after="0" w:afterAutospacing="0" w:line="240" w:lineRule="auto"/>
        <w:jc w:val="center"/>
        <w:rPr>
          <w:rFonts w:ascii="Times New Roman" w:cs="Times New Roman" w:eastAsia="Times New Roman" w:hAnsi="Times New Roman"/>
          <w:sz w:val="24"/>
          <w:szCs w:val="24"/>
        </w:rPr>
      </w:pPr>
    </w:p>
    <w:p w14:paraId="00000055">
      <w:pPr>
        <w:pStyle w:val="Normal"/>
        <w:spacing w:beforeAutospacing="0" w:after="0" w:afterAutospacing="0" w:line="240" w:lineRule="auto"/>
        <w:jc w:val="center"/>
        <w:rPr>
          <w:rFonts w:ascii="Times New Roman" w:cs="Times New Roman" w:eastAsia="Times New Roman" w:hAnsi="Times New Roman"/>
          <w:sz w:val="24"/>
          <w:szCs w:val="24"/>
        </w:rPr>
      </w:pPr>
    </w:p>
    <w:p w14:paraId="00000056">
      <w:pPr>
        <w:pStyle w:val="Normal"/>
        <w:widowControl w:val="off"/>
        <w:shd w:val="clear" w:color="auto" w:fill="ffffff"/>
        <w:spacing w:before="67" w:beforeAutospacing="0" w:after="0" w:afterAutospacing="0" w:line="240" w:lineRule="auto"/>
        <w:ind w:left="6182" w:right="422"/>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«УТВЕРЖДАЮ»      </w:t>
      </w:r>
    </w:p>
    <w:p w14:paraId="00000057">
      <w:pPr>
        <w:pStyle w:val="Normal"/>
        <w:widowControl w:val="off"/>
        <w:shd w:val="clear" w:color="auto" w:fill="ffffff"/>
        <w:spacing w:before="67" w:beforeAutospacing="0" w:after="0" w:afterAutospacing="0" w:line="240" w:lineRule="auto"/>
        <w:ind w:left="6182" w:right="422"/>
        <w:rPr>
          <w:rFonts w:ascii="Times New Roman" w:cs="Times New Roman" w:eastAsia="Times New Roman" w:hAnsi="Times New Roman"/>
          <w:sz w:val="24"/>
          <w:szCs w:val="24"/>
        </w:rPr>
      </w:pPr>
      <w:r>
        <w:rPr>
          <w:rFonts w:ascii="Times New Roman" w:cs="Times New Roman" w:eastAsia="Times New Roman" w:hAnsi="Times New Roman"/>
          <w:sz w:val="24"/>
          <w:szCs w:val="24"/>
        </w:rPr>
        <w:t>Зав. каф. _________</w:t>
      </w:r>
    </w:p>
    <w:p w14:paraId="00000058">
      <w:pPr>
        <w:pStyle w:val="Normal"/>
        <w:widowControl w:val="off"/>
        <w:shd w:val="clear" w:color="auto" w:fill="ffffff"/>
        <w:tabs>
          <w:tab w:val="left" w:pos="7526"/>
        </w:tabs>
        <w:spacing w:beforeAutospacing="0" w:after="0" w:afterAutospacing="0" w:line="240" w:lineRule="auto"/>
        <w:ind w:left="613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Л.А. </w:t>
      </w:r>
      <w:r>
        <w:rPr>
          <w:rFonts w:ascii="Times New Roman" w:cs="Times New Roman" w:eastAsia="Times New Roman" w:hAnsi="Times New Roman"/>
          <w:sz w:val="24"/>
          <w:szCs w:val="24"/>
        </w:rPr>
        <w:t>Гамидуллаева</w:t>
      </w:r>
    </w:p>
    <w:p w14:paraId="00000059">
      <w:pPr>
        <w:pStyle w:val="Normal"/>
        <w:widowControl w:val="off"/>
        <w:shd w:val="clear" w:color="auto" w:fill="ffffff"/>
        <w:tabs>
          <w:tab w:val="left" w:pos="6821"/>
          <w:tab w:val="left" w:pos="8314"/>
          <w:tab w:val="left" w:pos="9038"/>
        </w:tabs>
        <w:spacing w:beforeAutospacing="0" w:after="0" w:afterAutospacing="0" w:line="240" w:lineRule="auto"/>
        <w:ind w:left="6221"/>
        <w:rPr>
          <w:rFonts w:ascii="Times New Roman" w:cs="Times New Roman" w:eastAsia="Times New Roman" w:hAnsi="Times New Roman"/>
          <w:sz w:val="28"/>
          <w:szCs w:val="28"/>
          <w:u w:val="single"/>
        </w:rPr>
      </w:pPr>
      <w:r>
        <w:rPr>
          <w:rFonts w:ascii="Times New Roman" w:cs="Times New Roman" w:eastAsia="Times New Roman" w:hAnsi="Times New Roman"/>
          <w:sz w:val="24"/>
          <w:szCs w:val="24"/>
          <w:u w:val="single"/>
        </w:rPr>
        <w:t xml:space="preserve"> «10» марта 2026 г.</w:t>
      </w:r>
    </w:p>
    <w:p w14:paraId="0000005A">
      <w:pPr>
        <w:pStyle w:val="Normal"/>
        <w:spacing w:beforeAutospacing="0" w:after="0" w:afterAutospacing="0" w:line="288" w:lineRule="auto"/>
        <w:jc w:val="center"/>
        <w:rPr>
          <w:rFonts w:ascii="Times New Roman" w:cs="Times New Roman" w:eastAsia="Times New Roman" w:hAnsi="Times New Roman"/>
          <w:sz w:val="28"/>
          <w:szCs w:val="28"/>
        </w:rPr>
      </w:pPr>
    </w:p>
    <w:p w14:paraId="0000005B">
      <w:pPr>
        <w:pStyle w:val="Normal"/>
        <w:spacing w:beforeAutospacing="0" w:after="0" w:afterAutospacing="0" w:line="288" w:lineRule="auto"/>
        <w:jc w:val="center"/>
        <w:rPr>
          <w:rFonts w:ascii="Times New Roman" w:cs="Times New Roman" w:eastAsia="Times New Roman" w:hAnsi="Times New Roman"/>
          <w:sz w:val="28"/>
          <w:szCs w:val="28"/>
        </w:rPr>
      </w:pPr>
      <w:r>
        <w:rPr>
          <w:rFonts w:ascii="Times New Roman" w:cs="Times New Roman" w:eastAsia="Times New Roman" w:hAnsi="Times New Roman"/>
          <w:b/>
          <w:bCs/>
          <w:sz w:val="28"/>
          <w:szCs w:val="28"/>
        </w:rPr>
        <w:t>З</w:t>
      </w:r>
      <w:r>
        <w:rPr>
          <w:rFonts w:ascii="Times New Roman" w:cs="Times New Roman" w:eastAsia="Times New Roman" w:hAnsi="Times New Roman"/>
          <w:b/>
          <w:bCs/>
          <w:sz w:val="28"/>
          <w:szCs w:val="28"/>
        </w:rPr>
        <w:t xml:space="preserve"> А Д А Н И Е</w:t>
      </w:r>
    </w:p>
    <w:p w14:paraId="0000005C">
      <w:pPr>
        <w:pStyle w:val="Normal"/>
        <w:spacing w:beforeAutospacing="0" w:after="0" w:afterAutospacing="0" w:line="288" w:lineRule="auto"/>
        <w:jc w:val="center"/>
        <w:rPr>
          <w:rFonts w:ascii="Times New Roman" w:cs="Times New Roman" w:eastAsia="Times New Roman" w:hAnsi="Times New Roman"/>
          <w:sz w:val="28"/>
          <w:szCs w:val="28"/>
        </w:rPr>
      </w:pPr>
      <w:r>
        <w:rPr>
          <w:rFonts w:ascii="Times New Roman" w:cs="Times New Roman" w:eastAsia="Times New Roman" w:hAnsi="Times New Roman"/>
          <w:b/>
          <w:bCs/>
          <w:sz w:val="28"/>
          <w:szCs w:val="28"/>
        </w:rPr>
        <w:t>на бакалаврскую работу</w:t>
      </w:r>
    </w:p>
    <w:p w14:paraId="0000005D">
      <w:pPr>
        <w:pStyle w:val="Normal"/>
        <w:spacing w:beforeAutospacing="0" w:after="0" w:afterAutospacing="0" w:line="288" w:lineRule="auto"/>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студенту </w:t>
      </w:r>
      <w:r>
        <w:rPr>
          <w:rFonts w:ascii="Times New Roman" w:cs="Times New Roman" w:eastAsia="Times New Roman" w:hAnsi="Times New Roman"/>
          <w:sz w:val="28"/>
          <w:szCs w:val="28"/>
        </w:rPr>
        <w:t>Проскурнов</w:t>
      </w:r>
      <w:r>
        <w:rPr>
          <w:rFonts w:ascii="Times New Roman" w:cs="Times New Roman" w:eastAsia="Times New Roman" w:hAnsi="Times New Roman"/>
          <w:sz w:val="28"/>
          <w:szCs w:val="28"/>
        </w:rPr>
        <w:t>у</w:t>
      </w:r>
      <w:r>
        <w:rPr>
          <w:rFonts w:ascii="Times New Roman" w:cs="Times New Roman" w:eastAsia="Times New Roman" w:hAnsi="Times New Roman"/>
          <w:sz w:val="28"/>
          <w:szCs w:val="28"/>
        </w:rPr>
        <w:t xml:space="preserve"> Никит</w:t>
      </w:r>
      <w:r>
        <w:rPr>
          <w:rFonts w:ascii="Times New Roman" w:cs="Times New Roman" w:eastAsia="Times New Roman" w:hAnsi="Times New Roman"/>
          <w:sz w:val="28"/>
          <w:szCs w:val="28"/>
        </w:rPr>
        <w:t xml:space="preserve">е </w:t>
      </w:r>
      <w:r>
        <w:rPr>
          <w:rFonts w:ascii="Times New Roman" w:cs="Times New Roman" w:eastAsia="Times New Roman" w:hAnsi="Times New Roman"/>
          <w:sz w:val="28"/>
          <w:szCs w:val="28"/>
        </w:rPr>
        <w:t>Витальевич</w:t>
      </w:r>
      <w:r>
        <w:rPr>
          <w:rFonts w:ascii="Times New Roman" w:cs="Times New Roman" w:eastAsia="Times New Roman" w:hAnsi="Times New Roman"/>
          <w:sz w:val="28"/>
          <w:szCs w:val="28"/>
        </w:rPr>
        <w:t>у</w:t>
      </w:r>
    </w:p>
    <w:p w14:paraId="0000005E">
      <w:pPr>
        <w:pStyle w:val="Normal"/>
        <w:spacing w:beforeAutospacing="0" w:after="0" w:afterAutospacing="0" w:line="288" w:lineRule="auto"/>
        <w:jc w:val="center"/>
        <w:rPr>
          <w:rFonts w:ascii="Times New Roman" w:cs="Times New Roman" w:eastAsia="Times New Roman" w:hAnsi="Times New Roman"/>
          <w:sz w:val="28"/>
          <w:szCs w:val="28"/>
        </w:rPr>
      </w:pPr>
    </w:p>
    <w:tbl>
      <w:tblPr>
        <w:tblStyle w:val="A7"/>
        <w:tblW w:w="957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534"/>
        <w:gridCol w:w="3827"/>
        <w:gridCol w:w="5212"/>
      </w:tblGrid>
      <w:tr>
        <w:trPr/>
        <w:tc>
          <w:tcPr>
            <w:cnfStyle w:val="000010100000"/>
            <w:tcW w:w="534" w:type="dxa"/>
          </w:tcPr>
          <w:p w14:paraId="0000005F">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1.</w:t>
            </w:r>
          </w:p>
        </w:tc>
        <w:tc>
          <w:tcPr>
            <w:cnfStyle w:val="000001100000"/>
            <w:tcW w:w="3827" w:type="dxa"/>
          </w:tcPr>
          <w:p w14:paraId="00000060">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Тема работы:</w:t>
            </w:r>
          </w:p>
          <w:p w14:paraId="00000061">
            <w:pPr>
              <w:pStyle w:val="Normal"/>
              <w:spacing w:beforeAutospacing="0" w:after="0" w:afterAutospacing="0" w:line="240" w:lineRule="auto"/>
              <w:jc w:val="center"/>
              <w:rPr>
                <w:rFonts w:ascii="Times New Roman" w:cs="Times New Roman" w:eastAsia="Times New Roman" w:hAnsi="Times New Roman"/>
                <w:sz w:val="24"/>
                <w:szCs w:val="24"/>
              </w:rPr>
            </w:pPr>
          </w:p>
        </w:tc>
        <w:tc>
          <w:tcPr>
            <w:cnfStyle w:val="000010100000"/>
            <w:tcW w:w="5212" w:type="dxa"/>
          </w:tcPr>
          <w:p w14:paraId="00000062">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w:t>
            </w:r>
            <w:r>
              <w:rPr>
                <w:rFonts w:ascii="Times New Roman" w:cs="Times New Roman" w:eastAsia="Times New Roman" w:hAnsi="Times New Roman"/>
                <w:bCs/>
                <w:sz w:val="24"/>
                <w:szCs w:val="24"/>
              </w:rPr>
              <w:t xml:space="preserve">Разработка бизнес-плана создания предприятия по производству </w:t>
            </w:r>
            <w:r>
              <w:rPr>
                <w:rFonts w:ascii="Times New Roman" w:cs="Times New Roman" w:eastAsia="Times New Roman" w:hAnsi="Times New Roman"/>
                <w:bCs/>
                <w:sz w:val="24"/>
                <w:szCs w:val="24"/>
              </w:rPr>
              <w:t>гиперпрессованного</w:t>
            </w:r>
            <w:r>
              <w:rPr>
                <w:rFonts w:ascii="Times New Roman" w:cs="Times New Roman" w:eastAsia="Times New Roman" w:hAnsi="Times New Roman"/>
                <w:bCs/>
                <w:sz w:val="24"/>
                <w:szCs w:val="24"/>
              </w:rPr>
              <w:t xml:space="preserve"> кирпича</w:t>
            </w:r>
            <w:r>
              <w:rPr>
                <w:rFonts w:ascii="Times New Roman" w:cs="Times New Roman" w:eastAsia="Times New Roman" w:hAnsi="Times New Roman"/>
                <w:sz w:val="24"/>
                <w:szCs w:val="24"/>
              </w:rPr>
              <w:t>»</w:t>
            </w:r>
          </w:p>
        </w:tc>
      </w:tr>
      <w:tr>
        <w:trPr/>
        <w:tc>
          <w:tcPr>
            <w:cnfStyle w:val="000010010000"/>
            <w:tcW w:w="534" w:type="dxa"/>
          </w:tcPr>
          <w:p w14:paraId="00000063">
            <w:pPr>
              <w:pStyle w:val="Normal"/>
              <w:spacing w:beforeAutospacing="0" w:after="0" w:afterAutospacing="0" w:line="240" w:lineRule="auto"/>
              <w:jc w:val="center"/>
              <w:rPr>
                <w:rFonts w:ascii="Times New Roman" w:cs="Times New Roman" w:eastAsia="Times New Roman" w:hAnsi="Times New Roman"/>
                <w:sz w:val="24"/>
                <w:szCs w:val="24"/>
              </w:rPr>
            </w:pPr>
          </w:p>
        </w:tc>
        <w:tc>
          <w:tcPr>
            <w:cnfStyle w:val="000001010000"/>
            <w:tcW w:w="3827" w:type="dxa"/>
          </w:tcPr>
          <w:p w14:paraId="00000064">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Утверждена</w:t>
            </w:r>
            <w:r>
              <w:rPr>
                <w:rFonts w:ascii="Times New Roman" w:cs="Times New Roman" w:eastAsia="Times New Roman" w:hAnsi="Times New Roman"/>
                <w:sz w:val="24"/>
                <w:szCs w:val="24"/>
              </w:rPr>
              <w:t xml:space="preserve"> приказом по университету</w:t>
            </w:r>
          </w:p>
        </w:tc>
        <w:tc>
          <w:tcPr>
            <w:cnfStyle w:val="000010010000"/>
            <w:tcW w:w="5212" w:type="dxa"/>
          </w:tcPr>
          <w:p w14:paraId="00000065">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от 06.03.2026 г. № 0225/о</w:t>
            </w:r>
          </w:p>
        </w:tc>
      </w:tr>
      <w:tr>
        <w:trPr/>
        <w:tc>
          <w:tcPr>
            <w:cnfStyle w:val="000010100000"/>
            <w:tcW w:w="534" w:type="dxa"/>
          </w:tcPr>
          <w:p w14:paraId="00000066">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2.</w:t>
            </w:r>
          </w:p>
        </w:tc>
        <w:tc>
          <w:tcPr>
            <w:cnfStyle w:val="000001100000"/>
            <w:tcW w:w="3827" w:type="dxa"/>
          </w:tcPr>
          <w:p w14:paraId="00000067">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Срок предоставления работы к защите  </w:t>
            </w:r>
          </w:p>
        </w:tc>
        <w:tc>
          <w:tcPr>
            <w:cnfStyle w:val="000010100000"/>
            <w:tcW w:w="5212" w:type="dxa"/>
          </w:tcPr>
          <w:p w14:paraId="00000068">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15.06.2026 г.</w:t>
            </w:r>
          </w:p>
        </w:tc>
      </w:tr>
      <w:tr>
        <w:trPr/>
        <w:tc>
          <w:tcPr>
            <w:cnfStyle w:val="000010010000"/>
            <w:tcW w:w="534" w:type="dxa"/>
          </w:tcPr>
          <w:p w14:paraId="00000069">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3.</w:t>
            </w:r>
          </w:p>
        </w:tc>
        <w:tc>
          <w:tcPr>
            <w:cnfStyle w:val="000001010000"/>
            <w:tcW w:w="3827" w:type="dxa"/>
          </w:tcPr>
          <w:p w14:paraId="0000006A">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Исходные данные к работе:</w:t>
            </w:r>
          </w:p>
        </w:tc>
        <w:tc>
          <w:tcPr>
            <w:cnfStyle w:val="000010010000"/>
            <w:tcW w:w="5212" w:type="dxa"/>
          </w:tcPr>
          <w:p w14:paraId="0000006B">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по материалам преддипломной практики, НПА</w:t>
            </w:r>
          </w:p>
        </w:tc>
      </w:tr>
      <w:tr>
        <w:trPr/>
        <w:tc>
          <w:tcPr>
            <w:cnfStyle w:val="000010100000"/>
            <w:tcW w:w="534" w:type="dxa"/>
          </w:tcPr>
          <w:p w14:paraId="0000006C">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4.</w:t>
            </w:r>
          </w:p>
        </w:tc>
        <w:tc>
          <w:tcPr>
            <w:cnfStyle w:val="000001100000"/>
            <w:tcW w:w="3827" w:type="dxa"/>
          </w:tcPr>
          <w:p w14:paraId="0000006D">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Перечень подлежащих разработке в работе вопросов:</w:t>
            </w:r>
          </w:p>
        </w:tc>
        <w:tc>
          <w:tcPr>
            <w:cnfStyle w:val="000010100000"/>
            <w:tcW w:w="5212" w:type="dxa"/>
          </w:tcPr>
          <w:p w14:paraId="0000006E">
            <w:pPr>
              <w:pStyle w:val="Normal"/>
              <w:spacing w:beforeAutospacing="0" w:after="0" w:afterAutospacing="0" w:line="240" w:lineRule="auto"/>
              <w:jc w:val="center"/>
              <w:rPr>
                <w:rFonts w:ascii="Times New Roman" w:cs="Times New Roman" w:eastAsia="Times New Roman" w:hAnsi="Times New Roman"/>
                <w:sz w:val="24"/>
                <w:szCs w:val="24"/>
              </w:rPr>
            </w:pPr>
          </w:p>
        </w:tc>
      </w:tr>
      <w:tr>
        <w:trPr/>
        <w:tc>
          <w:tcPr>
            <w:cnfStyle w:val="000010010000"/>
            <w:tcW w:w="534" w:type="dxa"/>
          </w:tcPr>
          <w:p w14:paraId="0000006F">
            <w:pPr>
              <w:pStyle w:val="Normal"/>
              <w:spacing w:beforeAutospacing="0" w:after="0" w:afterAutospacing="0" w:line="240" w:lineRule="auto"/>
              <w:jc w:val="center"/>
              <w:rPr>
                <w:rFonts w:ascii="Times New Roman" w:cs="Times New Roman" w:eastAsia="Times New Roman" w:hAnsi="Times New Roman"/>
                <w:sz w:val="24"/>
                <w:szCs w:val="24"/>
              </w:rPr>
            </w:pPr>
          </w:p>
        </w:tc>
        <w:tc>
          <w:tcPr>
            <w:cnfStyle w:val="000001010000"/>
            <w:tcW w:w="3827" w:type="dxa"/>
          </w:tcPr>
          <w:p w14:paraId="00000070">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Теоретический раздел</w:t>
            </w:r>
          </w:p>
        </w:tc>
        <w:tc>
          <w:tcPr>
            <w:cnfStyle w:val="000010010000"/>
            <w:tcW w:w="5212" w:type="dxa"/>
          </w:tcPr>
          <w:p w14:paraId="00000071">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Теоретико-методические основы проектной деятельности</w:t>
            </w:r>
          </w:p>
        </w:tc>
      </w:tr>
      <w:tr>
        <w:trPr/>
        <w:tc>
          <w:tcPr>
            <w:cnfStyle w:val="000010100000"/>
            <w:tcW w:w="534" w:type="dxa"/>
          </w:tcPr>
          <w:p w14:paraId="00000072">
            <w:pPr>
              <w:pStyle w:val="Normal"/>
              <w:spacing w:beforeAutospacing="0" w:after="0" w:afterAutospacing="0" w:line="240" w:lineRule="auto"/>
              <w:jc w:val="center"/>
              <w:rPr>
                <w:rFonts w:ascii="Times New Roman" w:cs="Times New Roman" w:eastAsia="Times New Roman" w:hAnsi="Times New Roman"/>
                <w:sz w:val="24"/>
                <w:szCs w:val="24"/>
              </w:rPr>
            </w:pPr>
          </w:p>
        </w:tc>
        <w:tc>
          <w:tcPr>
            <w:cnfStyle w:val="000001100000"/>
            <w:tcW w:w="3827" w:type="dxa"/>
          </w:tcPr>
          <w:p w14:paraId="00000073">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Аналитический раздел</w:t>
            </w:r>
          </w:p>
        </w:tc>
        <w:tc>
          <w:tcPr>
            <w:cnfStyle w:val="000010100000"/>
            <w:tcW w:w="5212" w:type="dxa"/>
          </w:tcPr>
          <w:p w14:paraId="00000074">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hAnsi="Times New Roman"/>
                <w:bCs/>
                <w:sz w:val="24"/>
                <w:szCs w:val="24"/>
              </w:rPr>
              <w:t>Маркетинговое исследование рынка кирпича и обоснование рыночной привлекательности проекта</w:t>
            </w:r>
          </w:p>
        </w:tc>
      </w:tr>
      <w:tr>
        <w:trPr/>
        <w:tc>
          <w:tcPr>
            <w:cnfStyle w:val="000010010000"/>
            <w:tcW w:w="534" w:type="dxa"/>
          </w:tcPr>
          <w:p w14:paraId="00000075">
            <w:pPr>
              <w:pStyle w:val="Normal"/>
              <w:spacing w:beforeAutospacing="0" w:after="0" w:afterAutospacing="0" w:line="240" w:lineRule="auto"/>
              <w:jc w:val="center"/>
              <w:rPr>
                <w:rFonts w:ascii="Times New Roman" w:cs="Times New Roman" w:eastAsia="Times New Roman" w:hAnsi="Times New Roman"/>
                <w:sz w:val="24"/>
                <w:szCs w:val="24"/>
              </w:rPr>
            </w:pPr>
          </w:p>
        </w:tc>
        <w:tc>
          <w:tcPr>
            <w:cnfStyle w:val="000001010000"/>
            <w:tcW w:w="3827" w:type="dxa"/>
          </w:tcPr>
          <w:p w14:paraId="00000076">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Предложения и рекомендации</w:t>
            </w:r>
          </w:p>
        </w:tc>
        <w:tc>
          <w:tcPr>
            <w:cnfStyle w:val="000010010000"/>
            <w:tcW w:w="5212" w:type="dxa"/>
          </w:tcPr>
          <w:p w14:paraId="00000077">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hAnsi="Times New Roman"/>
                <w:bCs/>
                <w:sz w:val="24"/>
                <w:szCs w:val="24"/>
              </w:rPr>
              <w:t>Технико-технологическое обеспечение и разработка системы управления производством гиперпрессованного кирпича</w:t>
            </w:r>
          </w:p>
        </w:tc>
      </w:tr>
      <w:tr>
        <w:trPr/>
        <w:tc>
          <w:tcPr>
            <w:cnfStyle w:val="000010100000"/>
            <w:tcW w:w="534" w:type="dxa"/>
          </w:tcPr>
          <w:p w14:paraId="00000078">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5.</w:t>
            </w:r>
          </w:p>
        </w:tc>
        <w:tc>
          <w:tcPr>
            <w:cnfStyle w:val="000001100000"/>
            <w:tcW w:w="3827" w:type="dxa"/>
          </w:tcPr>
          <w:p w14:paraId="00000079">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Перечень графического материала:</w:t>
            </w:r>
          </w:p>
        </w:tc>
        <w:tc>
          <w:tcPr>
            <w:cnfStyle w:val="000010100000"/>
            <w:tcW w:w="5212" w:type="dxa"/>
          </w:tcPr>
          <w:p w14:paraId="0000007A">
            <w:pPr>
              <w:pStyle w:val="Normal"/>
              <w:spacing w:beforeAutospacing="0" w:after="0" w:afterAutospacing="0" w:line="240" w:lineRule="auto"/>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рисунков 2, таблиц </w:t>
            </w:r>
            <w:r>
              <w:rPr>
                <w:rFonts w:ascii="Times New Roman" w:cs="Times New Roman" w:eastAsia="Times New Roman" w:hAnsi="Times New Roman"/>
                <w:sz w:val="24"/>
                <w:szCs w:val="24"/>
              </w:rPr>
              <w:t>31.</w:t>
            </w:r>
          </w:p>
          <w:p w14:paraId="0000007B">
            <w:pPr>
              <w:pStyle w:val="Normal"/>
              <w:spacing w:beforeAutospacing="0" w:after="0" w:afterAutospacing="0" w:line="240" w:lineRule="auto"/>
              <w:jc w:val="center"/>
              <w:rPr>
                <w:rFonts w:ascii="Times New Roman" w:cs="Times New Roman" w:eastAsia="Times New Roman" w:hAnsi="Times New Roman"/>
                <w:color w:val="ff0000"/>
                <w:sz w:val="24"/>
                <w:szCs w:val="24"/>
              </w:rPr>
            </w:pPr>
          </w:p>
        </w:tc>
      </w:tr>
    </w:tbl>
    <w:p w14:paraId="0000007C">
      <w:pPr>
        <w:pStyle w:val="Normal"/>
        <w:widowControl w:val="off"/>
        <w:shd w:val="clear" w:color="auto" w:fill="ffffff"/>
        <w:spacing w:before="182" w:beforeAutospacing="0" w:after="0" w:afterAutospacing="0" w:line="240" w:lineRule="auto"/>
        <w:rPr>
          <w:rFonts w:ascii="Times New Roman" w:cs="Times New Roman" w:eastAsia="Times New Roman" w:hAnsi="Times New Roman"/>
        </w:rPr>
      </w:pPr>
    </w:p>
    <w:p w14:paraId="0000007D">
      <w:pPr>
        <w:pStyle w:val="Normal"/>
        <w:widowControl w:val="off"/>
        <w:shd w:val="clear" w:color="auto" w:fill="ffffff"/>
        <w:spacing w:before="182" w:beforeAutospacing="0" w:after="0" w:afterAutospacing="0" w:line="240" w:lineRule="auto"/>
        <w:rPr>
          <w:rFonts w:ascii="Times New Roman" w:cs="Times New Roman" w:eastAsia="Times New Roman" w:hAnsi="Times New Roman"/>
        </w:rPr>
      </w:pPr>
      <w:r>
        <w:rPr>
          <w:rFonts w:ascii="Times New Roman" w:cs="Times New Roman" w:eastAsia="Times New Roman" w:hAnsi="Times New Roman"/>
        </w:rPr>
        <w:t xml:space="preserve">Руководитель </w:t>
      </w:r>
    </w:p>
    <w:p w14:paraId="0000007E">
      <w:pPr>
        <w:pStyle w:val="Normal"/>
        <w:widowControl w:val="off"/>
        <w:shd w:val="clear" w:color="auto" w:fill="ffffff"/>
        <w:tabs>
          <w:tab w:val="left" w:pos="682"/>
          <w:tab w:val="left" w:pos="2674"/>
          <w:tab w:val="left" w:pos="3365"/>
        </w:tabs>
        <w:spacing w:before="115" w:beforeAutospacing="0" w:after="0" w:afterAutospacing="0" w:line="240" w:lineRule="auto"/>
        <w:ind w:left="72"/>
        <w:rPr>
          <w:rFonts w:ascii="Times New Roman" w:cs="Times New Roman" w:eastAsia="Times New Roman" w:hAnsi="Times New Roman"/>
        </w:rPr>
      </w:pPr>
      <w:r>
        <w:rPr>
          <w:rFonts w:ascii="Times New Roman" w:cs="Times New Roman" w:eastAsia="Times New Roman" w:hAnsi="Times New Roman"/>
        </w:rPr>
        <w:t xml:space="preserve">23.05.2026 г.                                                                              </w:t>
      </w:r>
      <w:r>
        <w:rPr>
          <w:rFonts w:ascii="Times New Roman" w:cs="Times New Roman" w:eastAsia="Times New Roman" w:hAnsi="Times New Roman"/>
          <w:u w:val="none"/>
        </w:rPr>
        <w:t>____</w:t>
      </w:r>
      <w:r>
        <w:rPr>
          <w:rFonts w:ascii="Times New Roman" w:cs="Times New Roman" w:eastAsia="Times New Roman" w:hAnsi="Times New Roman"/>
        </w:rPr>
        <w:t>___________________</w:t>
      </w:r>
      <w:r>
        <w:rPr>
          <w:rFonts w:ascii="Times New Roman" w:cs="Times New Roman" w:eastAsia="Times New Roman" w:hAnsi="Times New Roman"/>
        </w:rPr>
        <w:t>И</w:t>
      </w:r>
      <w:r>
        <w:rPr>
          <w:rFonts w:ascii="Times New Roman" w:cs="Times New Roman" w:eastAsia="Times New Roman" w:hAnsi="Times New Roman"/>
        </w:rPr>
        <w:t>.</w:t>
      </w:r>
      <w:r>
        <w:rPr>
          <w:rFonts w:ascii="Times New Roman" w:cs="Times New Roman" w:eastAsia="Times New Roman" w:hAnsi="Times New Roman"/>
        </w:rPr>
        <w:t>Г</w:t>
      </w:r>
      <w:r>
        <w:rPr>
          <w:rFonts w:ascii="Times New Roman" w:cs="Times New Roman" w:eastAsia="Times New Roman" w:hAnsi="Times New Roman"/>
        </w:rPr>
        <w:t>.</w:t>
      </w:r>
      <w:r>
        <w:rPr>
          <w:rFonts w:ascii="Times New Roman" w:cs="Times New Roman" w:eastAsia="Times New Roman" w:hAnsi="Times New Roman"/>
        </w:rPr>
        <w:t xml:space="preserve"> Ищенко</w:t>
      </w:r>
    </w:p>
    <w:p w14:paraId="0000007F">
      <w:pPr>
        <w:pStyle w:val="Normal"/>
        <w:widowControl w:val="off"/>
        <w:shd w:val="clear" w:color="auto" w:fill="ffffff"/>
        <w:spacing w:beforeAutospacing="0" w:after="0" w:afterAutospacing="0" w:line="240" w:lineRule="auto"/>
        <w:ind w:left="3113" w:right="1304" w:firstLine="2335"/>
        <w:rPr>
          <w:rFonts w:ascii="Times New Roman" w:cs="Times New Roman" w:eastAsia="Times New Roman" w:hAnsi="Times New Roman"/>
        </w:rPr>
      </w:pPr>
      <w:r>
        <w:rPr>
          <w:rFonts w:ascii="Times New Roman" w:cs="Times New Roman" w:eastAsia="Times New Roman" w:hAnsi="Times New Roman"/>
          <w:sz w:val="18"/>
          <w:szCs w:val="18"/>
        </w:rPr>
        <w:t xml:space="preserve"> (подпись,   инициалы,   фамилия) </w:t>
      </w:r>
    </w:p>
    <w:p w14:paraId="00000080">
      <w:pPr>
        <w:pStyle w:val="Normal"/>
        <w:widowControl w:val="off"/>
        <w:shd w:val="clear" w:color="auto" w:fill="ffffff"/>
        <w:spacing w:beforeAutospacing="0" w:after="0" w:afterAutospacing="0" w:line="240" w:lineRule="auto"/>
        <w:ind w:right="1304"/>
        <w:rPr>
          <w:rFonts w:ascii="Times New Roman" w:cs="Times New Roman" w:eastAsia="Times New Roman" w:hAnsi="Times New Roman"/>
        </w:rPr>
      </w:pPr>
      <w:r>
        <w:rPr>
          <w:rFonts w:ascii="Times New Roman" w:cs="Times New Roman" w:eastAsia="Times New Roman" w:hAnsi="Times New Roman"/>
        </w:rPr>
        <w:t>Задание принял к исполнению</w:t>
      </w:r>
    </w:p>
    <w:p w14:paraId="00000081">
      <w:pPr>
        <w:pStyle w:val="Normal"/>
        <w:widowControl w:val="off"/>
        <w:shd w:val="clear" w:color="auto" w:fill="ffffff"/>
        <w:tabs>
          <w:tab w:val="left" w:pos="682"/>
          <w:tab w:val="left" w:pos="2674"/>
          <w:tab w:val="left" w:pos="3365"/>
        </w:tabs>
        <w:spacing w:before="115" w:beforeAutospacing="0" w:after="0" w:afterAutospacing="0" w:line="240" w:lineRule="auto"/>
        <w:ind w:left="72"/>
        <w:rPr>
          <w:rFonts w:ascii="Times New Roman" w:cs="Times New Roman" w:eastAsia="Times New Roman" w:hAnsi="Times New Roman"/>
        </w:rPr>
      </w:pPr>
      <w:r>
        <w:rPr>
          <w:rFonts w:ascii="Times New Roman" w:cs="Times New Roman" w:eastAsia="Times New Roman" w:hAnsi="Times New Roman"/>
        </w:rPr>
        <w:t>23.05.2026 г.                                                                                 __________________</w:t>
      </w:r>
      <w:r>
        <w:rPr>
          <w:rFonts w:ascii="Times New Roman" w:cs="Times New Roman" w:eastAsia="Times New Roman" w:hAnsi="Times New Roman"/>
        </w:rPr>
        <w:t>Н</w:t>
      </w:r>
      <w:r>
        <w:rPr>
          <w:rFonts w:ascii="Times New Roman" w:cs="Times New Roman" w:eastAsia="Times New Roman" w:hAnsi="Times New Roman"/>
        </w:rPr>
        <w:t>.</w:t>
      </w:r>
      <w:r>
        <w:rPr>
          <w:rFonts w:ascii="Times New Roman" w:cs="Times New Roman" w:eastAsia="Times New Roman" w:hAnsi="Times New Roman"/>
        </w:rPr>
        <w:t>В</w:t>
      </w:r>
      <w:r>
        <w:rPr>
          <w:rFonts w:ascii="Times New Roman" w:cs="Times New Roman" w:eastAsia="Times New Roman" w:hAnsi="Times New Roman"/>
        </w:rPr>
        <w:t xml:space="preserve">. </w:t>
      </w:r>
      <w:r>
        <w:rPr>
          <w:rFonts w:ascii="Times New Roman" w:cs="Times New Roman" w:eastAsia="Times New Roman" w:hAnsi="Times New Roman"/>
        </w:rPr>
        <w:t>Проскурнов</w:t>
      </w:r>
    </w:p>
    <w:p w14:paraId="00000082">
      <w:pPr>
        <w:pStyle w:val="Normal"/>
        <w:widowControl w:val="off"/>
        <w:shd w:val="clear" w:color="auto" w:fill="ffffff"/>
        <w:spacing w:beforeAutospacing="0" w:after="0" w:afterAutospacing="0" w:line="240" w:lineRule="auto"/>
        <w:ind w:left="3101" w:right="1304" w:firstLine="2346"/>
        <w:rPr>
          <w:rFonts w:ascii="Times New Roman" w:cs="Times New Roman" w:eastAsia="Times New Roman" w:hAnsi="Times New Roman"/>
          <w:sz w:val="18"/>
          <w:szCs w:val="18"/>
        </w:rPr>
        <w:sectPr>
          <w:pgSz w:w="11909" w:h="16834"/>
          <w:pgMar w:top="1133" w:right="850" w:bottom="1133" w:left="1700" w:header="708" w:footer="708" w:gutter="0"/>
          <w:cols w:space="720"/>
          <w:titlePg/>
        </w:sectPr>
      </w:pPr>
      <w:r>
        <w:rPr>
          <w:rFonts w:ascii="Times New Roman" w:cs="Times New Roman" w:eastAsia="Times New Roman" w:hAnsi="Times New Roman"/>
          <w:sz w:val="18"/>
          <w:szCs w:val="18"/>
        </w:rPr>
        <w:t>(подпись,   инициалы,  фамилия)</w:t>
      </w:r>
    </w:p>
    <w:p w14:paraId="00000083">
      <w:pPr>
        <w:pStyle w:val="TOCHeading"/>
        <w:spacing w:before="0" w:beforeAutospacing="0" w:afterAutospacing="0" w:line="360" w:lineRule="auto"/>
        <w:ind w:firstLine="709"/>
        <w:rPr>
          <w:rFonts w:ascii="Times New Roman" w:cs="Times New Roman" w:hAnsi="Times New Roman"/>
          <w:b/>
          <w:bCs/>
          <w:color w:val="auto"/>
          <w:sz w:val="28"/>
          <w:szCs w:val="28"/>
        </w:rPr>
      </w:pPr>
      <w:r>
        <w:rPr>
          <w:rFonts w:ascii="Times New Roman" w:cs="Times New Roman" w:hAnsi="Times New Roman"/>
          <w:b/>
          <w:bCs/>
          <w:color w:val="auto"/>
          <w:sz w:val="28"/>
          <w:szCs w:val="28"/>
        </w:rPr>
        <w:t>Содержание</w:t>
      </w:r>
    </w:p>
    <w:p w14:paraId="00000084">
      <w:pPr>
        <w:spacing w:beforeAutospacing="0" w:after="0" w:afterAutospacing="0" w:line="360" w:lineRule="auto"/>
        <w:jc w:val="both"/>
        <w:rPr>
          <w:rFonts w:ascii="Times New Roman" w:cs="Times New Roman" w:hAnsi="Times New Roman"/>
          <w:b w:val="off"/>
          <w:bCs w:val="off"/>
          <w:sz w:val="28"/>
          <w:szCs w:val="28"/>
        </w:rPr>
      </w:pPr>
    </w:p>
    <w:p w14:paraId="00000085">
      <w:pPr>
        <w:spacing w:beforeAutospacing="0" w:after="0" w:afterAutospacing="0" w:line="360" w:lineRule="auto"/>
        <w:jc w:val="both"/>
        <w:rPr>
          <w:rFonts w:ascii="Times New Roman" w:cs="Times New Roman" w:hAnsi="Times New Roman"/>
          <w:b w:val="off"/>
          <w:bCs w:val="off"/>
          <w:sz w:val="28"/>
          <w:szCs w:val="28"/>
        </w:rPr>
      </w:pPr>
    </w:p>
    <w:p w14:paraId="00000086">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Введение...................................................................................................................3</w:t>
      </w:r>
    </w:p>
    <w:p w14:paraId="00000087">
      <w:pPr>
        <w:spacing w:beforeAutospacing="0" w:after="0" w:afterAutospacing="0" w:line="360" w:lineRule="auto"/>
        <w:jc w:val="both"/>
        <w:rPr>
          <w:rFonts w:ascii="Times New Roman" w:cs="Times New Roman" w:hAnsi="Times New Roman"/>
          <w:b w:val="off"/>
          <w:bCs w:val="off"/>
          <w:sz w:val="28"/>
          <w:szCs w:val="28"/>
        </w:rPr>
      </w:pPr>
      <w:r>
        <w:rPr>
          <w:rFonts w:ascii="Times New Roman" w:cs="Times New Roman" w:hAnsi="Times New Roman"/>
          <w:b w:val="off"/>
          <w:bCs w:val="off"/>
          <w:sz w:val="28"/>
          <w:szCs w:val="28"/>
        </w:rPr>
        <w:t>1 Теоретико-методические основы проектной деятельности предприятий......5 1.1 Понятие проектной деятельности: сущность и особенности........................5</w:t>
      </w:r>
    </w:p>
    <w:p w14:paraId="00000088">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 xml:space="preserve">1.2 </w:t>
      </w:r>
      <w:r>
        <w:rPr>
          <w:rFonts w:ascii="Times New Roman" w:cs="Times New Roman" w:hAnsi="Times New Roman"/>
          <w:b w:val="off"/>
          <w:bCs w:val="off"/>
          <w:sz w:val="28"/>
          <w:szCs w:val="28"/>
        </w:rPr>
        <w:t>Современные методические подходы к проектной деятельности в управлении предприятием</w:t>
      </w:r>
      <w:r>
        <w:rPr>
          <w:rFonts w:ascii="Times New Roman" w:cs="Times New Roman" w:hAnsi="Times New Roman"/>
          <w:b w:val="off"/>
          <w:bCs w:val="off"/>
          <w:sz w:val="28"/>
          <w:szCs w:val="28"/>
        </w:rPr>
        <w:t>....................................................................................14</w:t>
      </w:r>
    </w:p>
    <w:p w14:paraId="00000089">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1.3 Нормативно-правовое регулирование реализации проектов в РФ.............21</w:t>
      </w:r>
    </w:p>
    <w:p w14:paraId="0000008A">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2 Маркетинговое исследование рынка кирпича и обоснование рыночной привлекательности проекта..................................................................................28</w:t>
      </w:r>
    </w:p>
    <w:p w14:paraId="0000008B">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2.1 Анализ текущего состояния рынка производства кирпича.........................28</w:t>
      </w:r>
    </w:p>
    <w:p w14:paraId="0000008C">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2.2 Исследование конкурентов и оценка их конкурентных преимуществ......33</w:t>
      </w:r>
    </w:p>
    <w:p w14:paraId="0000008D">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2.3 Анализ потребителей рынка и определение потребительских предпочтений.........................................................................................................38</w:t>
      </w:r>
    </w:p>
    <w:p w14:paraId="0000008E">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3 Технико-технологическое обеспечение и разработка системы управления производством гиперпрессованного кирпича.....................................................45</w:t>
      </w:r>
    </w:p>
    <w:p w14:paraId="0000008F">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3.1 Проектирование системы управления и организационно-функциональных характеристик предприятия...........................</w:t>
      </w:r>
      <w:r>
        <w:rPr>
          <w:rFonts w:ascii="Times New Roman" w:cs="Times New Roman" w:hAnsi="Times New Roman"/>
          <w:b w:val="off"/>
          <w:bCs w:val="off"/>
          <w:sz w:val="28"/>
          <w:szCs w:val="28"/>
        </w:rPr>
        <w:t>.</w:t>
      </w:r>
      <w:r>
        <w:rPr>
          <w:rFonts w:ascii="Times New Roman" w:cs="Times New Roman" w:hAnsi="Times New Roman"/>
          <w:b w:val="off"/>
          <w:bCs w:val="off"/>
          <w:sz w:val="28"/>
          <w:szCs w:val="28"/>
        </w:rPr>
        <w:t>......................................................45</w:t>
      </w:r>
    </w:p>
    <w:p w14:paraId="00000090">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3.2 Формирование стратегий развития организации.........................................49</w:t>
      </w:r>
    </w:p>
    <w:p w14:paraId="00000091">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3.3 Предложения по организации операционных и логистических процессов организации............................................................................................................53</w:t>
      </w:r>
    </w:p>
    <w:p w14:paraId="00000092">
      <w:pPr>
        <w:spacing w:beforeAutospacing="0" w:after="0" w:afterAutospacing="0" w:line="360" w:lineRule="auto"/>
        <w:jc w:val="both"/>
        <w:rPr>
          <w:rFonts w:ascii="Times New Roman" w:cs="Times New Roman" w:hAnsi="Times New Roman"/>
          <w:b w:val="off"/>
          <w:bCs w:val="off"/>
          <w:sz w:val="28"/>
          <w:szCs w:val="28"/>
        </w:rPr>
      </w:pPr>
      <w:r>
        <w:rPr>
          <w:rFonts w:ascii="Times New Roman" w:cs="Times New Roman" w:hAnsi="Times New Roman"/>
          <w:b w:val="off"/>
          <w:bCs w:val="off"/>
          <w:sz w:val="28"/>
          <w:szCs w:val="28"/>
        </w:rPr>
        <w:t>3.4 Экономическое обоснование предлагаемых мероприятий.......</w:t>
      </w:r>
      <w:r>
        <w:rPr>
          <w:rFonts w:ascii="Times New Roman" w:cs="Times New Roman" w:hAnsi="Times New Roman"/>
          <w:b w:val="off"/>
          <w:bCs w:val="off"/>
          <w:sz w:val="28"/>
          <w:szCs w:val="28"/>
        </w:rPr>
        <w:t>.</w:t>
      </w:r>
      <w:r>
        <w:rPr>
          <w:rFonts w:ascii="Times New Roman" w:cs="Times New Roman" w:hAnsi="Times New Roman"/>
          <w:b w:val="off"/>
          <w:bCs w:val="off"/>
          <w:sz w:val="28"/>
          <w:szCs w:val="28"/>
        </w:rPr>
        <w:t>.................63</w:t>
      </w:r>
    </w:p>
    <w:p w14:paraId="00000093">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Заключение.............................................................................................................74</w:t>
      </w:r>
    </w:p>
    <w:p w14:paraId="00000094">
      <w:pPr>
        <w:spacing w:beforeAutospacing="0" w:after="0" w:afterAutospacing="0" w:line="360" w:lineRule="auto"/>
        <w:jc w:val="both"/>
        <w:rPr>
          <w:rFonts w:ascii="Times New Roman" w:cs="Times New Roman" w:hAnsi="Times New Roman"/>
          <w:b/>
          <w:bCs/>
          <w:sz w:val="28"/>
          <w:szCs w:val="28"/>
        </w:rPr>
      </w:pPr>
      <w:r>
        <w:rPr>
          <w:rFonts w:ascii="Times New Roman" w:cs="Times New Roman" w:hAnsi="Times New Roman"/>
          <w:b w:val="off"/>
          <w:bCs w:val="off"/>
          <w:sz w:val="28"/>
          <w:szCs w:val="28"/>
        </w:rPr>
        <w:t>Список использованных источников...................................................................80</w:t>
      </w:r>
    </w:p>
    <w:p w14:paraId="00000095">
      <w:pPr>
        <w:spacing w:beforeAutospacing="0" w:after="0" w:afterAutospacing="0" w:line="360" w:lineRule="auto"/>
        <w:jc w:val="both"/>
        <w:rPr>
          <w:rFonts w:ascii="Times New Roman" w:cs="Times New Roman" w:hAnsi="Times New Roman"/>
          <w:b w:val="off"/>
          <w:bCs w:val="off"/>
          <w:sz w:val="28"/>
          <w:szCs w:val="28"/>
        </w:rPr>
      </w:pPr>
      <w:r>
        <w:rPr>
          <w:rFonts w:ascii="Times New Roman" w:cs="Times New Roman" w:hAnsi="Times New Roman"/>
          <w:b w:val="off"/>
          <w:bCs w:val="off"/>
          <w:sz w:val="28"/>
          <w:szCs w:val="28"/>
        </w:rPr>
        <w:t>Приложения...........................................................................................................</w:t>
      </w:r>
      <w:bookmarkStart w:id="0" w:name="_Toc232406671"/>
      <w:r>
        <w:rPr>
          <w:rFonts w:ascii="Times New Roman" w:cs="Times New Roman" w:hAnsi="Times New Roman"/>
          <w:b w:val="off"/>
          <w:bCs w:val="off"/>
          <w:sz w:val="28"/>
          <w:szCs w:val="28"/>
        </w:rPr>
        <w:t>86</w:t>
      </w:r>
    </w:p>
    <w:p w14:paraId="00000096">
      <w:pPr>
        <w:spacing w:beforeAutospacing="0" w:after="0" w:afterAutospacing="0" w:line="360" w:lineRule="auto"/>
        <w:jc w:val="both"/>
        <w:rPr>
          <w:rFonts w:ascii="Times New Roman" w:cs="Times New Roman" w:hAnsi="Times New Roman"/>
          <w:b/>
          <w:bCs/>
          <w:color w:val="auto"/>
          <w:sz w:val="28"/>
          <w:szCs w:val="28"/>
        </w:rPr>
      </w:pPr>
    </w:p>
    <w:p w14:paraId="00000097">
      <w:pPr>
        <w:spacing w:beforeAutospacing="0" w:after="0" w:afterAutospacing="0" w:line="360" w:lineRule="auto"/>
        <w:jc w:val="both"/>
        <w:rPr>
          <w:rFonts w:ascii="Times New Roman" w:cs="Times New Roman" w:hAnsi="Times New Roman"/>
          <w:b/>
          <w:bCs/>
          <w:color w:val="auto"/>
          <w:sz w:val="28"/>
          <w:szCs w:val="28"/>
        </w:rPr>
      </w:pPr>
    </w:p>
    <w:p w14:paraId="00000098">
      <w:pPr>
        <w:spacing w:beforeAutospacing="0" w:after="0" w:afterAutospacing="0" w:line="360" w:lineRule="auto"/>
        <w:jc w:val="both"/>
        <w:rPr>
          <w:rFonts w:ascii="Times New Roman" w:cs="Times New Roman" w:hAnsi="Times New Roman"/>
          <w:b/>
          <w:bCs/>
          <w:color w:val="auto"/>
          <w:sz w:val="28"/>
          <w:szCs w:val="28"/>
        </w:rPr>
      </w:pPr>
    </w:p>
    <w:p w14:paraId="00000099">
      <w:pPr>
        <w:spacing w:beforeAutospacing="0" w:after="0" w:afterAutospacing="0" w:line="360" w:lineRule="auto"/>
        <w:jc w:val="both"/>
        <w:rPr>
          <w:rFonts w:ascii="Times New Roman" w:cs="Times New Roman" w:hAnsi="Times New Roman"/>
          <w:b/>
          <w:bCs/>
          <w:color w:val="auto"/>
          <w:sz w:val="28"/>
          <w:szCs w:val="28"/>
        </w:rPr>
      </w:pPr>
    </w:p>
    <w:p w14:paraId="0000009A">
      <w:pPr>
        <w:spacing w:beforeAutospacing="0" w:after="0" w:afterAutospacing="0" w:line="360" w:lineRule="auto"/>
        <w:ind w:firstLine="706"/>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Введение</w:t>
      </w:r>
      <w:bookmarkEnd w:id="0"/>
    </w:p>
    <w:p w14:paraId="0000009B">
      <w:pPr>
        <w:spacing w:beforeAutospacing="0" w:after="0" w:afterAutospacing="0" w:line="360" w:lineRule="auto"/>
        <w:ind w:firstLine="709"/>
        <w:jc w:val="both"/>
        <w:rPr>
          <w:rFonts w:ascii="Times New Roman" w:cs="Times New Roman" w:hAnsi="Times New Roman"/>
          <w:b/>
          <w:bCs/>
          <w:sz w:val="28"/>
          <w:szCs w:val="28"/>
        </w:rPr>
      </w:pPr>
    </w:p>
    <w:p w14:paraId="0000009C">
      <w:pPr>
        <w:spacing w:beforeAutospacing="0" w:after="0" w:afterAutospacing="0" w:line="360" w:lineRule="auto"/>
        <w:ind w:firstLine="709"/>
        <w:jc w:val="both"/>
        <w:rPr>
          <w:rFonts w:ascii="Times New Roman" w:cs="Times New Roman" w:hAnsi="Times New Roman"/>
          <w:bCs/>
          <w:sz w:val="28"/>
          <w:szCs w:val="28"/>
        </w:rPr>
      </w:pPr>
    </w:p>
    <w:p w14:paraId="0000009D">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Актуальность темы исследования обусловлена отсутствием на рынке Пензенской области местного производства гиперпрессованного кирпича при стабильно высоком спросе со стороны индивидуальных застройщиков, что создаёт условия для реализации инвестиционного проекта, обеспечивающего импортозамещение, снижение цен для потребителей и развитие региональной экономики.</w:t>
      </w:r>
    </w:p>
    <w:p w14:paraId="0000009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Теоретические основы проектной деятельности и бизнес-планирования отражены в трудах как зарубежных, так и отечественных авторов. Значительный вклад в развитие теории управления проектами внесли Р.Г. Маниловский, В.М. Попов, И.А. Бланк, Ю.Н. Лапыгин, М.В. Чараева, В.В. Ковалев. Методики оценки инвестиционных проектов UNIDO, TACIS, EBRD широко применяются в российской практике. Однако применительно к производству гиперпрессованного кирпича в условиях конкретного региона (Пензенская область) комплексные исследования, объединяющие теоретические аспекты проектной деятельности, маркетинговый анализ регионального рынка и практические рекомендации по созданию предприятия, представлены недостаточно. Настоящая работа призвана восполнить этот пробел.</w:t>
      </w:r>
    </w:p>
    <w:p w14:paraId="0000009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Объект исследования</w:t>
      </w:r>
      <w:r>
        <w:rPr>
          <w:rFonts w:ascii="Times New Roman" w:cs="Times New Roman" w:hAnsi="Times New Roman"/>
          <w:sz w:val="28"/>
          <w:szCs w:val="28"/>
        </w:rPr>
        <w:t> – деятельность предприятий по производству стеновых строительных материалов (гиперпрессованного кирпича) в Российской Федерации, с фокусом на Пензенскую область.</w:t>
      </w:r>
    </w:p>
    <w:p w14:paraId="000000A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 xml:space="preserve">Предмет исследования </w:t>
      </w:r>
      <w:r>
        <w:rPr>
          <w:rFonts w:ascii="Times New Roman" w:cs="Times New Roman" w:hAnsi="Times New Roman"/>
          <w:sz w:val="28"/>
          <w:szCs w:val="28"/>
        </w:rPr>
        <w:t>– организационно-управленческие и экономические отношения, возникающие в процессе разработки бизнес-плана создания предприятия по производству гиперпрессованного кирпича.</w:t>
      </w:r>
    </w:p>
    <w:p w14:paraId="000000A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Цель выпускной квалификационной работы</w:t>
      </w:r>
      <w:r>
        <w:rPr>
          <w:rFonts w:ascii="Times New Roman" w:cs="Times New Roman" w:hAnsi="Times New Roman"/>
          <w:sz w:val="28"/>
          <w:szCs w:val="28"/>
        </w:rPr>
        <w:t xml:space="preserve"> – разработать и обосновать бизнес-план создания предприятия по производству гиперпрессованного </w:t>
      </w:r>
      <w:r>
        <w:rPr>
          <w:rFonts w:ascii="Times New Roman" w:cs="Times New Roman" w:hAnsi="Times New Roman"/>
          <w:sz w:val="28"/>
          <w:szCs w:val="28"/>
        </w:rPr>
        <w:t>кирпича в Пензенской области, обеспечивающий его экономическую эффективность и инвестиционную привлекательность.</w:t>
      </w:r>
    </w:p>
    <w:p w14:paraId="000000A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достижения цели поставлены следующие </w:t>
      </w:r>
      <w:r>
        <w:rPr>
          <w:rFonts w:ascii="Times New Roman" w:cs="Times New Roman" w:hAnsi="Times New Roman"/>
          <w:bCs/>
          <w:sz w:val="28"/>
          <w:szCs w:val="28"/>
        </w:rPr>
        <w:t>задачи</w:t>
      </w:r>
      <w:r>
        <w:rPr>
          <w:rFonts w:ascii="Times New Roman" w:cs="Times New Roman" w:hAnsi="Times New Roman"/>
          <w:sz w:val="28"/>
          <w:szCs w:val="28"/>
        </w:rPr>
        <w:t>:</w:t>
      </w:r>
    </w:p>
    <w:p w14:paraId="000000A3">
      <w:pPr>
        <w:spacing w:beforeAutospacing="0" w:after="0" w:afterAutospacing="0" w:line="360" w:lineRule="auto"/>
        <w:ind w:left="0" w:right="0" w:firstLine="706"/>
        <w:jc w:val="both"/>
        <w:rPr>
          <w:rFonts w:ascii="Times New Roman" w:cs="Times New Roman" w:hAnsi="Times New Roman"/>
          <w:sz w:val="28"/>
          <w:szCs w:val="28"/>
        </w:rPr>
      </w:pPr>
      <w:r>
        <w:rPr>
          <w:rFonts w:ascii="Times New Roman" w:cs="Times New Roman" w:hAnsi="Times New Roman"/>
          <w:sz w:val="28"/>
          <w:szCs w:val="28"/>
        </w:rPr>
        <w:t>1) раскрыть понятие и особенности проектной деятельности при создании предприятия по производству гиперпрессованного кирпича;</w:t>
      </w:r>
    </w:p>
    <w:p w14:paraId="000000A4">
      <w:pPr>
        <w:spacing w:beforeAutospacing="0" w:after="0" w:afterAutospacing="0" w:line="360" w:lineRule="auto"/>
        <w:ind w:left="0" w:right="0" w:firstLine="706"/>
        <w:jc w:val="both"/>
        <w:rPr>
          <w:rFonts w:ascii="Times New Roman" w:cs="Times New Roman" w:hAnsi="Times New Roman"/>
          <w:sz w:val="28"/>
          <w:szCs w:val="28"/>
        </w:rPr>
      </w:pPr>
      <w:r>
        <w:rPr>
          <w:rFonts w:ascii="Times New Roman" w:cs="Times New Roman" w:hAnsi="Times New Roman"/>
          <w:sz w:val="28"/>
          <w:szCs w:val="28"/>
        </w:rPr>
        <w:t>2) систематизировать современные методические подходы к проектной деятельности в управлении промышленным предприятием;</w:t>
      </w:r>
    </w:p>
    <w:p w14:paraId="000000A5">
      <w:pPr>
        <w:spacing w:beforeAutospacing="0" w:after="0" w:afterAutospacing="0" w:line="360" w:lineRule="auto"/>
        <w:ind w:left="0" w:right="0" w:firstLine="706"/>
        <w:jc w:val="both"/>
        <w:rPr>
          <w:rFonts w:ascii="Times New Roman" w:cs="Times New Roman" w:hAnsi="Times New Roman"/>
          <w:sz w:val="28"/>
          <w:szCs w:val="28"/>
        </w:rPr>
      </w:pPr>
      <w:r>
        <w:rPr>
          <w:rFonts w:ascii="Times New Roman" w:cs="Times New Roman" w:hAnsi="Times New Roman"/>
          <w:sz w:val="28"/>
          <w:szCs w:val="28"/>
        </w:rPr>
        <w:t>3) проанализировать нормативно-правовое регулирование реализации проектов в Российской Федерации;</w:t>
      </w:r>
    </w:p>
    <w:p w14:paraId="000000A6">
      <w:pPr>
        <w:spacing w:beforeAutospacing="0" w:after="0" w:afterAutospacing="0" w:line="360" w:lineRule="auto"/>
        <w:ind w:left="0" w:right="0" w:firstLine="706"/>
        <w:jc w:val="both"/>
        <w:rPr>
          <w:rFonts w:ascii="Times New Roman" w:cs="Times New Roman" w:hAnsi="Times New Roman"/>
          <w:sz w:val="28"/>
          <w:szCs w:val="28"/>
        </w:rPr>
      </w:pPr>
      <w:r>
        <w:rPr>
          <w:rFonts w:ascii="Times New Roman" w:cs="Times New Roman" w:hAnsi="Times New Roman"/>
          <w:sz w:val="28"/>
          <w:szCs w:val="28"/>
        </w:rPr>
        <w:t>4) провести маркетинговое исследование рынка гиперпрессованного кирпича в Пензенской области, включая анализ конкурентов и потребительских предпочтений;</w:t>
      </w:r>
    </w:p>
    <w:p w14:paraId="000000A7">
      <w:pPr>
        <w:spacing w:beforeAutospacing="0" w:after="0" w:afterAutospacing="0" w:line="360" w:lineRule="auto"/>
        <w:ind w:left="0" w:right="0" w:firstLine="706"/>
        <w:jc w:val="both"/>
        <w:rPr>
          <w:rFonts w:ascii="Times New Roman" w:cs="Times New Roman" w:hAnsi="Times New Roman"/>
          <w:sz w:val="28"/>
          <w:szCs w:val="28"/>
        </w:rPr>
      </w:pPr>
      <w:r>
        <w:rPr>
          <w:rFonts w:ascii="Times New Roman" w:cs="Times New Roman" w:hAnsi="Times New Roman"/>
          <w:sz w:val="28"/>
          <w:szCs w:val="28"/>
        </w:rPr>
        <w:t>5) разработать технико-технологическую и управленческую подсистемы создаваемого предприятия;</w:t>
      </w:r>
    </w:p>
    <w:p w14:paraId="000000A8">
      <w:pPr>
        <w:spacing w:beforeAutospacing="0" w:after="0" w:afterAutospacing="0" w:line="360" w:lineRule="auto"/>
        <w:ind w:left="0" w:right="0" w:firstLine="706"/>
        <w:jc w:val="both"/>
        <w:rPr>
          <w:rFonts w:ascii="Times New Roman" w:cs="Times New Roman" w:hAnsi="Times New Roman"/>
          <w:sz w:val="28"/>
          <w:szCs w:val="28"/>
        </w:rPr>
      </w:pPr>
      <w:r>
        <w:rPr>
          <w:rFonts w:ascii="Times New Roman" w:cs="Times New Roman" w:hAnsi="Times New Roman"/>
          <w:sz w:val="28"/>
          <w:szCs w:val="28"/>
        </w:rPr>
        <w:t>6) выполнить экономическое обоснование бизнес-плана и оценить его эффективность.</w:t>
      </w:r>
    </w:p>
    <w:p w14:paraId="000000A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Теоретическая значимость</w:t>
      </w:r>
      <w:r>
        <w:rPr>
          <w:rFonts w:ascii="Times New Roman" w:cs="Times New Roman" w:hAnsi="Times New Roman"/>
          <w:sz w:val="28"/>
          <w:szCs w:val="28"/>
        </w:rPr>
        <w:t> работы заключается в обобщении и систематизации теоретических основ проектной деятельности применительно к производству гиперпрессованного кирпича с учётом современных требований рынка и законодательства, а также в адаптации методических подходов к условиям конкретного региона.</w:t>
      </w:r>
    </w:p>
    <w:p w14:paraId="000000AA">
      <w:pPr>
        <w:spacing w:beforeAutospacing="0" w:after="0" w:afterAutospacing="0" w:line="360" w:lineRule="auto"/>
        <w:ind w:firstLine="709"/>
        <w:jc w:val="both"/>
        <w:rPr>
          <w:rFonts w:ascii="Times New Roman" w:cs="Times New Roman" w:hAnsi="Times New Roman"/>
          <w:sz w:val="28"/>
          <w:szCs w:val="28"/>
          <w:highlight w:val="none"/>
        </w:rPr>
      </w:pPr>
      <w:r>
        <w:rPr>
          <w:rFonts w:ascii="Times New Roman" w:cs="Times New Roman" w:hAnsi="Times New Roman"/>
          <w:bCs/>
          <w:sz w:val="28"/>
          <w:szCs w:val="28"/>
        </w:rPr>
        <w:t>Практическая значимость</w:t>
      </w:r>
      <w:r>
        <w:rPr>
          <w:rFonts w:ascii="Times New Roman" w:cs="Times New Roman" w:hAnsi="Times New Roman"/>
          <w:sz w:val="28"/>
          <w:szCs w:val="28"/>
        </w:rPr>
        <w:t> состоит в возможности использования разработанного бизнес-плана для реального открытия предприятия в Пензенской области, а также в качестве учебно-методического материала для предпринимателей, планирующих инвестировать в производство стр</w:t>
      </w:r>
      <w:r>
        <w:rPr>
          <w:rFonts w:ascii="Times New Roman" w:cs="Times New Roman" w:hAnsi="Times New Roman"/>
          <w:sz w:val="28"/>
          <w:szCs w:val="28"/>
          <w:highlight w:val="none"/>
        </w:rPr>
        <w:t>оительных материалов в регионах Приволжского федерального округа.</w:t>
      </w:r>
    </w:p>
    <w:p w14:paraId="000000A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highlight w:val="none"/>
        </w:rPr>
        <w:t>Выпускная квалификационная работа состоит из введения, трёх глав (в первой главе – три параграфа, во второй – три, в третьей – четыре), заключения, списка литературы (59 источников) и приложения.</w:t>
      </w:r>
    </w:p>
    <w:p w14:paraId="000000AC">
      <w:pPr>
        <w:pStyle w:val="Heading1"/>
        <w:spacing w:before="0" w:beforeAutospacing="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1 Теоретико-методические основы проектной деятельности предприятий</w:t>
      </w:r>
      <w:r>
        <w:rPr>
          <w:rFonts w:ascii="Times New Roman" w:cs="Times New Roman" w:hAnsi="Times New Roman"/>
          <w:b/>
          <w:bCs/>
          <w:color w:val="auto"/>
          <w:sz w:val="28"/>
          <w:szCs w:val="28"/>
        </w:rPr>
        <w:t xml:space="preserve"> </w:t>
      </w:r>
    </w:p>
    <w:p w14:paraId="000000AD">
      <w:pPr>
        <w:pStyle w:val="Heading1"/>
        <w:spacing w:before="0" w:beforeAutospacing="0" w:afterAutospacing="0" w:line="360" w:lineRule="auto"/>
        <w:ind w:firstLine="709"/>
        <w:jc w:val="both"/>
        <w:rPr>
          <w:rFonts w:ascii="Times New Roman" w:cs="Times New Roman" w:hAnsi="Times New Roman"/>
          <w:b/>
          <w:bCs/>
          <w:color w:val="auto"/>
          <w:sz w:val="28"/>
          <w:szCs w:val="28"/>
        </w:rPr>
      </w:pPr>
    </w:p>
    <w:p w14:paraId="000000AE">
      <w:pPr>
        <w:pStyle w:val="Heading1"/>
        <w:spacing w:before="0" w:beforeAutospacing="0" w:afterAutospacing="0" w:line="360" w:lineRule="auto"/>
        <w:ind w:firstLine="709"/>
        <w:jc w:val="both"/>
        <w:rPr>
          <w:rFonts w:ascii="Times New Roman" w:cs="Times New Roman" w:hAnsi="Times New Roman"/>
          <w:b/>
          <w:bCs/>
          <w:color w:val="auto"/>
          <w:sz w:val="28"/>
          <w:szCs w:val="28"/>
        </w:rPr>
      </w:pPr>
    </w:p>
    <w:p w14:paraId="000000AF">
      <w:pPr>
        <w:pStyle w:val="Heading1"/>
        <w:spacing w:before="0" w:beforeAutospacing="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1.1 Понятие проектной деятельности: сущность и особенности</w:t>
      </w:r>
    </w:p>
    <w:p w14:paraId="000000B0">
      <w:pPr>
        <w:spacing w:beforeAutospacing="0" w:after="0" w:afterAutospacing="0" w:line="360" w:lineRule="auto"/>
        <w:ind w:firstLine="709"/>
        <w:jc w:val="both"/>
        <w:rPr>
          <w:rFonts w:ascii="Times New Roman" w:cs="Times New Roman" w:hAnsi="Times New Roman"/>
          <w:sz w:val="28"/>
          <w:szCs w:val="28"/>
        </w:rPr>
      </w:pPr>
    </w:p>
    <w:p w14:paraId="000000B1">
      <w:pPr>
        <w:spacing w:beforeAutospacing="0" w:after="0" w:afterAutospacing="0" w:line="360" w:lineRule="auto"/>
        <w:ind w:firstLine="709"/>
        <w:jc w:val="both"/>
        <w:rPr>
          <w:rFonts w:ascii="Times New Roman" w:cs="Times New Roman" w:hAnsi="Times New Roman"/>
          <w:sz w:val="28"/>
          <w:szCs w:val="28"/>
        </w:rPr>
      </w:pPr>
    </w:p>
    <w:p w14:paraId="000000B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современной экономической науке и практике управления под проектной деятельностью понимается совокупность взаимосвязанных мероприятий, направленных на достижение уникального результата в условиях установленных временных и ресурсных ограничений [22, с. 12]. Данное определение акцентирует внимание на двух ключевых характеристиках: уникальность результата и ограниченность ресурсов. В отличие от операционной деятельности, которая носит циклический повторяющийся характер, проектная деятельность всегда однократна и имеет чётко выраженные начало и окончание [22, с. 28].</w:t>
      </w:r>
    </w:p>
    <w:p w14:paraId="000000B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Стандарт PMBOK (Project Management Body of Knowledge), разработанный Институтом управления проектами (PMI), определяет проект как временное предприятие, предназначенное для создания уникальных продуктов, услуг или результатов [58, с. 15]. Временной характер проекта означает, что любой проект имеет определённую продолжительность. Уникальность означает, что создаваемые продукты или услуги существенным образом отличаются от других аналогичных продуктов и услуг [</w:t>
      </w:r>
      <w:r>
        <w:rPr>
          <w:rFonts w:ascii="Times New Roman" w:cs="Times New Roman" w:hAnsi="Times New Roman"/>
          <w:sz w:val="28"/>
          <w:szCs w:val="28"/>
        </w:rPr>
        <w:t>39</w:t>
      </w:r>
      <w:r>
        <w:rPr>
          <w:rFonts w:ascii="Times New Roman" w:cs="Times New Roman" w:hAnsi="Times New Roman"/>
          <w:sz w:val="28"/>
          <w:szCs w:val="28"/>
        </w:rPr>
        <w:t>].</w:t>
      </w:r>
    </w:p>
    <w:p w14:paraId="000000B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Проектная деятельность как объект управления обладает рядом специфических признаков, отличающих её от иных видов деятельности. Первым признаком является целенаправленность, то есть ориентация на достижение конкретных, заранее определённых целей. Вторым признаком выступает ограниченность во времени: каждый проект имеет строго </w:t>
      </w:r>
      <w:r>
        <w:rPr>
          <w:rFonts w:ascii="Times New Roman" w:cs="Times New Roman" w:hAnsi="Times New Roman"/>
          <w:sz w:val="28"/>
          <w:szCs w:val="28"/>
        </w:rPr>
        <w:t>определённые сроки начала и окончания. Третьим признаком является уникальность результата, которая проявляется в том, что даже при выполнении типовых задач каждый раз создаётся новый, неповторимый продукт или услуга. Четвёртым признаком выступают ресурсные ограничения: проект всегда реализуется в рамках выделенного бюджета, определённого количества персонала, материалов и оборудования. Пятым признаком является наличие рисков и неопределённости, связанных с невозможностью точного прогнозирования всех событий на стадии планирования [27, с. 20].</w:t>
      </w:r>
    </w:p>
    <w:p w14:paraId="000000B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теории управления проектами выделяют пять основных групп процессов, образующих жизненный цикл проекта. Первая группа – процессы инициации, включающие разработку устава проекта, назначение руководителя проекта, предварительное обоснование целесообразности. Вторая группа – процессы планирования, которые охватывают разработку календарного плана, бюджета, плана управления рисками и иных плановых документов. Третья группа – процессы реализации, предполагающие непосредственное выполнение работ в соответствии с утверждённым планом. Четвёртая группа – процессы мониторинга и контроля, обеспечивающие отслеживание фактического состояния проекта и сравнение его с плановыми показателями. Пятая группа – процессы завершения, включающие формальное закрытие проекта, передачу результатов заказчику и анализ накопленного опыта [24, с. 9].</w:t>
      </w:r>
    </w:p>
    <w:p w14:paraId="000000B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Каждая из перечисленных групп процессов решает специфические задачи и требует применения особых методов и инструментов. На стадии инициации ключевыми задачами являются обоснование концепции проекта, предварительная оценка затрат и выгод, анализ альтернативных вариантов реализации. На стадии планирования основное внимание уделяется детализации работ, назначению ответственных, расчёту потребности в ресурсах, идентификации и оценке рисков. Стадия реализации предполагает координацию деятельности участников проекта, управление поставками, </w:t>
      </w:r>
      <w:r>
        <w:rPr>
          <w:rFonts w:ascii="Times New Roman" w:cs="Times New Roman" w:hAnsi="Times New Roman"/>
          <w:sz w:val="28"/>
          <w:szCs w:val="28"/>
        </w:rPr>
        <w:t>обеспечение качества. Стадия мониторинга и контроля включает сбор отчётности, анализ отклонений, управление изменениями. Стадия завершения предусматривает приёмку результатов, расчёт с подрядчиками, формирование архива проектной документации [50, с. 266]</w:t>
      </w:r>
      <w:r>
        <w:rPr>
          <w:rFonts w:ascii="Times New Roman" w:cs="Times New Roman" w:hAnsi="Times New Roman"/>
          <w:sz w:val="28"/>
          <w:szCs w:val="28"/>
        </w:rPr>
        <w:t>.</w:t>
      </w:r>
    </w:p>
    <w:p w14:paraId="000000B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Существенное значение для понимания сущности проектной деятельности имеет её сравнение с операционной деятельностью. Операционная деятельность представляет собой непрерывный процесс производства товаров или оказания услуг, который повторяется циклически и не имеет заранее определённой даты завершения. В операционной деятельности используются стандартизированные процедуры, а управление направлено на поддержание стабильности и эффективности процессов. Проектная деятельность, напротив, ориентирована на достижение уникального результата в условиях высокой неопределённости, а управление проектом направлено на преодоление возникающих отклонений и адаптацию к изменяющимся условиям [42, с. 55].</w:t>
      </w:r>
    </w:p>
    <w:p w14:paraId="000000B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таблице 1.1 представлены основные различия между проектной и операционной деятельностью по ряду критериев.</w:t>
      </w:r>
    </w:p>
    <w:p w14:paraId="000000B9">
      <w:pPr>
        <w:spacing w:beforeAutospacing="0" w:after="0" w:afterAutospacing="0" w:line="360" w:lineRule="auto"/>
        <w:rPr>
          <w:rFonts w:ascii="Times New Roman" w:cs="Times New Roman" w:hAnsi="Times New Roman"/>
          <w:sz w:val="28"/>
          <w:szCs w:val="28"/>
        </w:rPr>
      </w:pPr>
      <w:r>
        <w:rPr>
          <w:rFonts w:ascii="Times New Roman" w:cs="Times New Roman" w:hAnsi="Times New Roman"/>
          <w:bCs/>
          <w:sz w:val="28"/>
          <w:szCs w:val="28"/>
        </w:rPr>
        <w:t>Таблица 1.1 – Сравнение проектной и операционной деятельности [42, с. 58]</w:t>
      </w:r>
    </w:p>
    <w:tbl>
      <w:tblPr>
        <w:tblStyle w:val="TableGrid"/>
        <w:tblW w:w="9418" w:type="dxa"/>
        <w:tblInd w:w="83" w:type="dxa"/>
        <w:tblLook w:val="04A0"/>
      </w:tblPr>
      <w:tblGrid>
        <w:gridCol w:w="2812"/>
        <w:gridCol w:w="3404"/>
        <w:gridCol w:w="3201"/>
      </w:tblGrid>
      <w:tr>
        <w:trPr/>
        <w:tc>
          <w:tcPr>
            <w:cnfStyle w:val="101000000000"/>
            <w:tcW w:w="2830" w:type="dxa"/>
          </w:tcPr>
          <w:p w14:paraId="000000BA">
            <w:pPr>
              <w:jc w:val="center"/>
              <w:rPr>
                <w:rFonts w:ascii="Times New Roman" w:cs="Times New Roman" w:hAnsi="Times New Roman"/>
                <w:sz w:val="24"/>
                <w:szCs w:val="24"/>
              </w:rPr>
            </w:pPr>
            <w:r>
              <w:rPr>
                <w:rFonts w:ascii="Times New Roman" w:cs="Times New Roman" w:hAnsi="Times New Roman"/>
                <w:sz w:val="24"/>
                <w:szCs w:val="24"/>
              </w:rPr>
              <w:t>Критерий сравнения</w:t>
            </w:r>
          </w:p>
        </w:tc>
        <w:tc>
          <w:tcPr>
            <w:cnfStyle w:val="100000000000"/>
            <w:tcW w:w="3425" w:type="dxa"/>
          </w:tcPr>
          <w:p w14:paraId="000000BB">
            <w:pPr>
              <w:jc w:val="center"/>
              <w:rPr>
                <w:rFonts w:ascii="Times New Roman" w:cs="Times New Roman" w:hAnsi="Times New Roman"/>
                <w:sz w:val="24"/>
                <w:szCs w:val="24"/>
              </w:rPr>
            </w:pPr>
            <w:r>
              <w:rPr>
                <w:rFonts w:ascii="Times New Roman" w:cs="Times New Roman" w:hAnsi="Times New Roman"/>
                <w:sz w:val="24"/>
                <w:szCs w:val="24"/>
              </w:rPr>
              <w:t>Проектная деятельность</w:t>
            </w:r>
          </w:p>
        </w:tc>
        <w:tc>
          <w:tcPr>
            <w:cnfStyle w:val="100000000000"/>
            <w:tcW w:w="3221" w:type="dxa"/>
          </w:tcPr>
          <w:p w14:paraId="000000BC">
            <w:pPr>
              <w:jc w:val="center"/>
              <w:rPr>
                <w:rFonts w:ascii="Times New Roman" w:cs="Times New Roman" w:hAnsi="Times New Roman"/>
                <w:sz w:val="24"/>
                <w:szCs w:val="24"/>
              </w:rPr>
            </w:pPr>
            <w:r>
              <w:rPr>
                <w:rFonts w:ascii="Times New Roman" w:cs="Times New Roman" w:hAnsi="Times New Roman"/>
                <w:sz w:val="24"/>
                <w:szCs w:val="24"/>
              </w:rPr>
              <w:t>Операционная деятельность</w:t>
            </w:r>
          </w:p>
        </w:tc>
      </w:tr>
      <w:tr>
        <w:trPr/>
        <w:tc>
          <w:tcPr>
            <w:cnfStyle w:val="001000100000"/>
            <w:tcW w:w="2830" w:type="dxa"/>
          </w:tcPr>
          <w:p w14:paraId="000000BD">
            <w:pPr>
              <w:jc w:val="both"/>
              <w:rPr>
                <w:rFonts w:ascii="Times New Roman" w:cs="Times New Roman" w:hAnsi="Times New Roman"/>
                <w:sz w:val="24"/>
                <w:szCs w:val="24"/>
              </w:rPr>
            </w:pPr>
            <w:r>
              <w:rPr>
                <w:rFonts w:ascii="Times New Roman" w:cs="Times New Roman" w:hAnsi="Times New Roman"/>
                <w:sz w:val="24"/>
                <w:szCs w:val="24"/>
              </w:rPr>
              <w:t>Цель</w:t>
            </w:r>
          </w:p>
        </w:tc>
        <w:tc>
          <w:tcPr>
            <w:cnfStyle w:val="000000100000"/>
            <w:tcW w:w="3425" w:type="dxa"/>
          </w:tcPr>
          <w:p w14:paraId="000000BE">
            <w:pPr>
              <w:jc w:val="both"/>
              <w:rPr>
                <w:rFonts w:ascii="Times New Roman" w:cs="Times New Roman" w:hAnsi="Times New Roman"/>
                <w:sz w:val="24"/>
                <w:szCs w:val="24"/>
              </w:rPr>
            </w:pPr>
            <w:r>
              <w:rPr>
                <w:rFonts w:ascii="Times New Roman" w:cs="Times New Roman" w:hAnsi="Times New Roman"/>
                <w:sz w:val="24"/>
                <w:szCs w:val="24"/>
              </w:rPr>
              <w:t>Достижение уникального результата</w:t>
            </w:r>
          </w:p>
        </w:tc>
        <w:tc>
          <w:tcPr>
            <w:cnfStyle w:val="000000100000"/>
            <w:tcW w:w="3221" w:type="dxa"/>
          </w:tcPr>
          <w:p w14:paraId="000000BF">
            <w:pPr>
              <w:jc w:val="both"/>
              <w:rPr>
                <w:rFonts w:ascii="Times New Roman" w:cs="Times New Roman" w:hAnsi="Times New Roman"/>
                <w:sz w:val="24"/>
                <w:szCs w:val="24"/>
              </w:rPr>
            </w:pPr>
            <w:r>
              <w:rPr>
                <w:rFonts w:ascii="Times New Roman" w:cs="Times New Roman" w:hAnsi="Times New Roman"/>
                <w:sz w:val="24"/>
                <w:szCs w:val="24"/>
              </w:rPr>
              <w:t>Поддержание стабильного процесса</w:t>
            </w:r>
          </w:p>
        </w:tc>
      </w:tr>
      <w:tr>
        <w:trPr/>
        <w:tc>
          <w:tcPr>
            <w:cnfStyle w:val="001000010000"/>
            <w:tcW w:w="2830" w:type="dxa"/>
          </w:tcPr>
          <w:p w14:paraId="000000C0">
            <w:pPr>
              <w:jc w:val="both"/>
              <w:rPr>
                <w:rFonts w:ascii="Times New Roman" w:cs="Times New Roman" w:hAnsi="Times New Roman"/>
                <w:sz w:val="24"/>
                <w:szCs w:val="24"/>
              </w:rPr>
            </w:pPr>
            <w:r>
              <w:rPr>
                <w:rFonts w:ascii="Times New Roman" w:cs="Times New Roman" w:hAnsi="Times New Roman"/>
                <w:sz w:val="24"/>
                <w:szCs w:val="24"/>
              </w:rPr>
              <w:t>Временной горизонт</w:t>
            </w:r>
          </w:p>
        </w:tc>
        <w:tc>
          <w:tcPr>
            <w:cnfStyle w:val="000000010000"/>
            <w:tcW w:w="3425" w:type="dxa"/>
          </w:tcPr>
          <w:p w14:paraId="000000C1">
            <w:pPr>
              <w:jc w:val="both"/>
              <w:rPr>
                <w:rFonts w:ascii="Times New Roman" w:cs="Times New Roman" w:hAnsi="Times New Roman"/>
                <w:sz w:val="24"/>
                <w:szCs w:val="24"/>
              </w:rPr>
            </w:pPr>
            <w:r>
              <w:rPr>
                <w:rFonts w:ascii="Times New Roman" w:cs="Times New Roman" w:hAnsi="Times New Roman"/>
                <w:sz w:val="24"/>
                <w:szCs w:val="24"/>
              </w:rPr>
              <w:t>Ограниченный (заданные сроки)</w:t>
            </w:r>
          </w:p>
        </w:tc>
        <w:tc>
          <w:tcPr>
            <w:cnfStyle w:val="000000010000"/>
            <w:tcW w:w="3221" w:type="dxa"/>
          </w:tcPr>
          <w:p w14:paraId="000000C2">
            <w:pPr>
              <w:jc w:val="both"/>
              <w:rPr>
                <w:rFonts w:ascii="Times New Roman" w:cs="Times New Roman" w:hAnsi="Times New Roman"/>
                <w:sz w:val="24"/>
                <w:szCs w:val="24"/>
              </w:rPr>
            </w:pPr>
            <w:r>
              <w:rPr>
                <w:rFonts w:ascii="Times New Roman" w:cs="Times New Roman" w:hAnsi="Times New Roman"/>
                <w:sz w:val="24"/>
                <w:szCs w:val="24"/>
              </w:rPr>
              <w:t>Неограниченный (непрерывный)</w:t>
            </w:r>
          </w:p>
        </w:tc>
      </w:tr>
      <w:tr>
        <w:trPr/>
        <w:tc>
          <w:tcPr>
            <w:cnfStyle w:val="001000100000"/>
            <w:tcW w:w="2830" w:type="dxa"/>
          </w:tcPr>
          <w:p w14:paraId="000000C3">
            <w:pPr>
              <w:jc w:val="both"/>
              <w:rPr>
                <w:rFonts w:ascii="Times New Roman" w:cs="Times New Roman" w:hAnsi="Times New Roman"/>
                <w:sz w:val="24"/>
                <w:szCs w:val="24"/>
              </w:rPr>
            </w:pPr>
            <w:r>
              <w:rPr>
                <w:rFonts w:ascii="Times New Roman" w:cs="Times New Roman" w:hAnsi="Times New Roman"/>
                <w:sz w:val="24"/>
                <w:szCs w:val="24"/>
              </w:rPr>
              <w:t>Повторяемость</w:t>
            </w:r>
          </w:p>
        </w:tc>
        <w:tc>
          <w:tcPr>
            <w:cnfStyle w:val="000000100000"/>
            <w:tcW w:w="3425" w:type="dxa"/>
          </w:tcPr>
          <w:p w14:paraId="000000C4">
            <w:pPr>
              <w:jc w:val="both"/>
              <w:rPr>
                <w:rFonts w:ascii="Times New Roman" w:cs="Times New Roman" w:hAnsi="Times New Roman"/>
                <w:sz w:val="24"/>
                <w:szCs w:val="24"/>
              </w:rPr>
            </w:pPr>
            <w:r>
              <w:rPr>
                <w:rFonts w:ascii="Times New Roman" w:cs="Times New Roman" w:hAnsi="Times New Roman"/>
                <w:sz w:val="24"/>
                <w:szCs w:val="24"/>
              </w:rPr>
              <w:t>Однократна</w:t>
            </w:r>
          </w:p>
        </w:tc>
        <w:tc>
          <w:tcPr>
            <w:cnfStyle w:val="000000100000"/>
            <w:tcW w:w="3221" w:type="dxa"/>
          </w:tcPr>
          <w:p w14:paraId="000000C5">
            <w:pPr>
              <w:jc w:val="both"/>
              <w:rPr>
                <w:rFonts w:ascii="Times New Roman" w:cs="Times New Roman" w:hAnsi="Times New Roman"/>
                <w:sz w:val="24"/>
                <w:szCs w:val="24"/>
              </w:rPr>
            </w:pPr>
            <w:r>
              <w:rPr>
                <w:rFonts w:ascii="Times New Roman" w:cs="Times New Roman" w:hAnsi="Times New Roman"/>
                <w:sz w:val="24"/>
                <w:szCs w:val="24"/>
              </w:rPr>
              <w:t>Циклична, повторяема</w:t>
            </w:r>
          </w:p>
        </w:tc>
      </w:tr>
      <w:tr>
        <w:trPr/>
        <w:tc>
          <w:tcPr>
            <w:cnfStyle w:val="001000010000"/>
            <w:tcW w:w="2830" w:type="dxa"/>
          </w:tcPr>
          <w:p w14:paraId="000000C6">
            <w:pPr>
              <w:jc w:val="both"/>
              <w:rPr>
                <w:rFonts w:ascii="Times New Roman" w:cs="Times New Roman" w:hAnsi="Times New Roman"/>
                <w:sz w:val="24"/>
                <w:szCs w:val="24"/>
              </w:rPr>
            </w:pPr>
            <w:r>
              <w:rPr>
                <w:rFonts w:ascii="Times New Roman" w:cs="Times New Roman" w:hAnsi="Times New Roman"/>
                <w:sz w:val="24"/>
                <w:szCs w:val="24"/>
              </w:rPr>
              <w:t>Ресурсы</w:t>
            </w:r>
          </w:p>
        </w:tc>
        <w:tc>
          <w:tcPr>
            <w:cnfStyle w:val="000000010000"/>
            <w:tcW w:w="3425" w:type="dxa"/>
          </w:tcPr>
          <w:p w14:paraId="000000C7">
            <w:pPr>
              <w:jc w:val="both"/>
              <w:rPr>
                <w:rFonts w:ascii="Times New Roman" w:cs="Times New Roman" w:hAnsi="Times New Roman"/>
                <w:sz w:val="24"/>
                <w:szCs w:val="24"/>
              </w:rPr>
            </w:pPr>
            <w:r>
              <w:rPr>
                <w:rFonts w:ascii="Times New Roman" w:cs="Times New Roman" w:hAnsi="Times New Roman"/>
                <w:sz w:val="24"/>
                <w:szCs w:val="24"/>
              </w:rPr>
              <w:t>Привлекаются временно</w:t>
            </w:r>
          </w:p>
        </w:tc>
        <w:tc>
          <w:tcPr>
            <w:cnfStyle w:val="000000010000"/>
            <w:tcW w:w="3221" w:type="dxa"/>
          </w:tcPr>
          <w:p w14:paraId="000000C8">
            <w:pPr>
              <w:jc w:val="both"/>
              <w:rPr>
                <w:rFonts w:ascii="Times New Roman" w:cs="Times New Roman" w:hAnsi="Times New Roman"/>
                <w:sz w:val="24"/>
                <w:szCs w:val="24"/>
              </w:rPr>
            </w:pPr>
            <w:r>
              <w:rPr>
                <w:rFonts w:ascii="Times New Roman" w:cs="Times New Roman" w:hAnsi="Times New Roman"/>
                <w:sz w:val="24"/>
                <w:szCs w:val="24"/>
              </w:rPr>
              <w:t>Используются постоянно</w:t>
            </w:r>
          </w:p>
        </w:tc>
      </w:tr>
      <w:tr>
        <w:trPr/>
        <w:tc>
          <w:tcPr>
            <w:cnfStyle w:val="001000100000"/>
            <w:tcW w:w="2830" w:type="dxa"/>
          </w:tcPr>
          <w:p w14:paraId="000000C9">
            <w:pPr>
              <w:jc w:val="both"/>
              <w:rPr>
                <w:rFonts w:ascii="Times New Roman" w:cs="Times New Roman" w:hAnsi="Times New Roman"/>
                <w:sz w:val="24"/>
                <w:szCs w:val="24"/>
              </w:rPr>
            </w:pPr>
            <w:r>
              <w:rPr>
                <w:rFonts w:ascii="Times New Roman" w:cs="Times New Roman" w:hAnsi="Times New Roman"/>
                <w:sz w:val="24"/>
                <w:szCs w:val="24"/>
              </w:rPr>
              <w:t>Степень неопределённости</w:t>
            </w:r>
          </w:p>
        </w:tc>
        <w:tc>
          <w:tcPr>
            <w:cnfStyle w:val="000000100000"/>
            <w:tcW w:w="3425" w:type="dxa"/>
          </w:tcPr>
          <w:p w14:paraId="000000CA">
            <w:pPr>
              <w:jc w:val="both"/>
              <w:rPr>
                <w:rFonts w:ascii="Times New Roman" w:cs="Times New Roman" w:hAnsi="Times New Roman"/>
                <w:sz w:val="24"/>
                <w:szCs w:val="24"/>
              </w:rPr>
            </w:pPr>
            <w:r>
              <w:rPr>
                <w:rFonts w:ascii="Times New Roman" w:cs="Times New Roman" w:hAnsi="Times New Roman"/>
                <w:sz w:val="24"/>
                <w:szCs w:val="24"/>
              </w:rPr>
              <w:t>Высокая</w:t>
            </w:r>
          </w:p>
        </w:tc>
        <w:tc>
          <w:tcPr>
            <w:cnfStyle w:val="000000100000"/>
            <w:tcW w:w="3221" w:type="dxa"/>
          </w:tcPr>
          <w:p w14:paraId="000000CB">
            <w:pPr>
              <w:jc w:val="both"/>
              <w:rPr>
                <w:rFonts w:ascii="Times New Roman" w:cs="Times New Roman" w:hAnsi="Times New Roman"/>
                <w:sz w:val="24"/>
                <w:szCs w:val="24"/>
              </w:rPr>
            </w:pPr>
            <w:r>
              <w:rPr>
                <w:rFonts w:ascii="Times New Roman" w:cs="Times New Roman" w:hAnsi="Times New Roman"/>
                <w:sz w:val="24"/>
                <w:szCs w:val="24"/>
              </w:rPr>
              <w:t>Низкая</w:t>
            </w:r>
          </w:p>
        </w:tc>
      </w:tr>
      <w:tr>
        <w:trPr/>
        <w:tc>
          <w:tcPr>
            <w:cnfStyle w:val="001000010000"/>
            <w:tcW w:w="2830" w:type="dxa"/>
          </w:tcPr>
          <w:p w14:paraId="000000CC">
            <w:pPr>
              <w:jc w:val="both"/>
              <w:rPr>
                <w:rFonts w:ascii="Times New Roman" w:cs="Times New Roman" w:hAnsi="Times New Roman"/>
                <w:sz w:val="24"/>
                <w:szCs w:val="24"/>
              </w:rPr>
            </w:pPr>
            <w:r>
              <w:rPr>
                <w:rFonts w:ascii="Times New Roman" w:cs="Times New Roman" w:hAnsi="Times New Roman"/>
                <w:sz w:val="24"/>
                <w:szCs w:val="24"/>
              </w:rPr>
              <w:t>Управленческий фокус</w:t>
            </w:r>
          </w:p>
        </w:tc>
        <w:tc>
          <w:tcPr>
            <w:cnfStyle w:val="000000010000"/>
            <w:tcW w:w="3425" w:type="dxa"/>
          </w:tcPr>
          <w:p w14:paraId="000000CD">
            <w:pPr>
              <w:jc w:val="both"/>
              <w:rPr>
                <w:rFonts w:ascii="Times New Roman" w:cs="Times New Roman" w:hAnsi="Times New Roman"/>
                <w:sz w:val="24"/>
                <w:szCs w:val="24"/>
              </w:rPr>
            </w:pPr>
            <w:r>
              <w:rPr>
                <w:rFonts w:ascii="Times New Roman" w:cs="Times New Roman" w:hAnsi="Times New Roman"/>
                <w:sz w:val="24"/>
                <w:szCs w:val="24"/>
              </w:rPr>
              <w:t>Достижение цели в рамках ограничений</w:t>
            </w:r>
          </w:p>
        </w:tc>
        <w:tc>
          <w:tcPr>
            <w:cnfStyle w:val="000000010000"/>
            <w:tcW w:w="3221" w:type="dxa"/>
          </w:tcPr>
          <w:p w14:paraId="000000CE">
            <w:pPr>
              <w:jc w:val="both"/>
              <w:rPr>
                <w:rFonts w:ascii="Times New Roman" w:cs="Times New Roman" w:hAnsi="Times New Roman"/>
                <w:sz w:val="24"/>
                <w:szCs w:val="24"/>
              </w:rPr>
            </w:pPr>
            <w:r>
              <w:rPr>
                <w:rFonts w:ascii="Times New Roman" w:cs="Times New Roman" w:hAnsi="Times New Roman"/>
                <w:sz w:val="24"/>
                <w:szCs w:val="24"/>
              </w:rPr>
              <w:t>Эффективность и стабильность</w:t>
            </w:r>
          </w:p>
        </w:tc>
      </w:tr>
    </w:tbl>
    <w:p w14:paraId="000000CF">
      <w:pPr>
        <w:spacing w:beforeAutospacing="0" w:after="0" w:afterAutospacing="0" w:line="360" w:lineRule="auto"/>
        <w:ind w:firstLine="709"/>
        <w:jc w:val="both"/>
        <w:rPr>
          <w:rFonts w:ascii="Times New Roman" w:cs="Times New Roman" w:hAnsi="Times New Roman"/>
          <w:sz w:val="28"/>
          <w:szCs w:val="28"/>
        </w:rPr>
      </w:pPr>
    </w:p>
    <w:p w14:paraId="000000D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w:t>
      </w:r>
      <w:r>
        <w:rPr>
          <w:rFonts w:ascii="Times New Roman" w:cs="Times New Roman" w:hAnsi="Times New Roman"/>
          <w:sz w:val="28"/>
          <w:szCs w:val="28"/>
        </w:rPr>
        <w:t xml:space="preserve">роектная деятельность принципиально отличается от операционной по всем ключевым параметрам – целями, сроками, повторяемостью, ресурсами и уровнем неопределённости. Поэтому управление проектами сформировалось в </w:t>
      </w:r>
      <w:r>
        <w:rPr>
          <w:rFonts w:ascii="Times New Roman" w:cs="Times New Roman" w:hAnsi="Times New Roman"/>
          <w:sz w:val="28"/>
          <w:szCs w:val="28"/>
        </w:rPr>
        <w:t xml:space="preserve">последние десятилетия как самостоятельная профессиональная область – </w:t>
      </w:r>
      <w:r>
        <w:rPr>
          <w:rFonts w:ascii="Times New Roman" w:cs="Times New Roman" w:hAnsi="Times New Roman"/>
          <w:sz w:val="28"/>
          <w:szCs w:val="28"/>
        </w:rPr>
        <w:t>проектный менеджмент (project management)</w:t>
      </w:r>
      <w:r>
        <w:rPr>
          <w:rFonts w:ascii="Times New Roman" w:cs="Times New Roman" w:hAnsi="Times New Roman"/>
          <w:sz w:val="28"/>
          <w:szCs w:val="28"/>
        </w:rPr>
        <w:t>.</w:t>
      </w:r>
    </w:p>
    <w:p w14:paraId="000000D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Жизненный цикл проекта, как уже отмечалось, состоит из последовательных стадий. Однако в зависимости от масштаба, сложности и отраслевой принадлежности проекта количество и детализация стадий могут варьироваться. В классическом понимании выделяют четыре основные стадии: концептуальную (предынвестиционную), инвестиционную, эксплуатационную и ликвидационную. На концептуальной стадии формулируется идея, проводится предварительное обоснование, разрабатывается бизнес-план. На инвестиционной стадии осуществляется непосредственное создание объекта: проектирование, закупка, строительство, монтаж, пусконаладка [26, с. 201]. Эксплуатационная стадия – это период использования созданного объекта по назначению, который с точки зрения управления проектом уже не является проектной деятельностью, а относится к операционной. Ликвидационная стадия предполагает вывод объекта из эксплуатации и утилизацию [24, с. 27].</w:t>
      </w:r>
    </w:p>
    <w:p w14:paraId="000000D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каждого проекта, независимо от его масштаба и сложности, характерно наличие так называемого «железного треугольника» ограничений: содержание (объём работ), время (сроки) и стоимость (бюджет). Изменение любого из этих параметров, как правило, влечёт за собой изменение одного или двух других. Например, сокращение сроков при неизменном содержании ведёт к увеличению стоимости (необходимость привлечения дополнительных ресурсов). Расширение содержания при фиксированных сроках также увеличивает стоимость. Управление проектом заключается в нахождении оптимального баланса между этими тремя ограничениями [17, с. 44].</w:t>
      </w:r>
    </w:p>
    <w:p w14:paraId="000000D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Помимо трёх основных ограничений, в современной практике управления проектами всё большее значение приобретают дополнительные ограничения: качество, риски, удовлетворённость заказчика и экологические последствия. Качество рассматривается как четвёртая вершина </w:t>
      </w:r>
      <w:r>
        <w:rPr>
          <w:rFonts w:ascii="Times New Roman" w:cs="Times New Roman" w:hAnsi="Times New Roman"/>
          <w:sz w:val="28"/>
          <w:szCs w:val="28"/>
        </w:rPr>
        <w:t>«треугольника», превращая его в «ромб» или «многогранник». Управление качеством предполагает, что результаты проекта должны соответствовать заранее установленным требованиям и стандартам. Управление рисками направлено на идентификацию потенциальных угроз и возможностей, их оценку и разработку мер реагирования. Удовлетворённость заказчика является интегральным показателем успешности проекта, который не всегда прямо коррелирует с соблюдением сроков и бюджета. Экологические последствия проекта в современных условиях становятся обязательным критерием оценки, особенно в промышленности и строительстве [18, с. 189].</w:t>
      </w:r>
    </w:p>
    <w:p w14:paraId="000000D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таблице 1.2 представлены основные характеристики проекта как объекта управления.</w:t>
      </w:r>
    </w:p>
    <w:p w14:paraId="000000D5">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1.2 – Характеристики проекта как объекта управления [18, с. 200]</w:t>
      </w:r>
    </w:p>
    <w:tbl>
      <w:tblPr>
        <w:tblStyle w:val="TableGrid"/>
        <w:tblW w:w="9424" w:type="dxa"/>
        <w:jc w:val="center"/>
        <w:tblInd w:w="-58" w:type="dxa"/>
        <w:tblLook w:val="04A0"/>
      </w:tblPr>
      <w:tblGrid>
        <w:gridCol w:w="2350"/>
        <w:gridCol w:w="3537"/>
        <w:gridCol w:w="3537"/>
      </w:tblGrid>
      <w:tr>
        <w:trPr>
          <w:trHeight w:val="276" w:hRule="atLeast"/>
          <w:jc w:val="center"/>
        </w:trPr>
        <w:tc>
          <w:tcPr>
            <w:cnfStyle w:val="101000000000"/>
            <w:tcW w:w="842" w:type="dxa"/>
          </w:tcPr>
          <w:p w14:paraId="000000D6">
            <w:pPr>
              <w:jc w:val="center"/>
              <w:rPr>
                <w:rFonts w:ascii="Times New Roman" w:cs="Times New Roman" w:hAnsi="Times New Roman"/>
                <w:sz w:val="24"/>
                <w:szCs w:val="24"/>
              </w:rPr>
            </w:pPr>
            <w:r>
              <w:rPr>
                <w:rFonts w:ascii="Times New Roman" w:cs="Times New Roman" w:hAnsi="Times New Roman"/>
                <w:sz w:val="24"/>
                <w:szCs w:val="24"/>
              </w:rPr>
              <w:t>Характеристика</w:t>
            </w:r>
          </w:p>
        </w:tc>
        <w:tc>
          <w:tcPr>
            <w:cnfStyle w:val="100000000000"/>
            <w:tcW w:w="0" w:type="auto"/>
          </w:tcPr>
          <w:p w14:paraId="000000D7">
            <w:pPr>
              <w:jc w:val="center"/>
              <w:rPr>
                <w:rFonts w:ascii="Times New Roman" w:cs="Times New Roman" w:hAnsi="Times New Roman"/>
                <w:sz w:val="24"/>
                <w:szCs w:val="24"/>
              </w:rPr>
            </w:pPr>
            <w:r>
              <w:rPr>
                <w:rFonts w:ascii="Times New Roman" w:cs="Times New Roman" w:hAnsi="Times New Roman"/>
                <w:sz w:val="24"/>
                <w:szCs w:val="24"/>
              </w:rPr>
              <w:t>Содержание</w:t>
            </w:r>
          </w:p>
        </w:tc>
        <w:tc>
          <w:tcPr>
            <w:cnfStyle w:val="100000000000"/>
            <w:tcW w:w="0" w:type="auto"/>
          </w:tcPr>
          <w:p w14:paraId="000000D8">
            <w:pPr>
              <w:jc w:val="center"/>
              <w:rPr>
                <w:rFonts w:ascii="Times New Roman" w:cs="Times New Roman" w:hAnsi="Times New Roman"/>
                <w:sz w:val="24"/>
                <w:szCs w:val="24"/>
              </w:rPr>
            </w:pPr>
            <w:r>
              <w:rPr>
                <w:rFonts w:ascii="Times New Roman" w:cs="Times New Roman" w:hAnsi="Times New Roman"/>
                <w:sz w:val="24"/>
                <w:szCs w:val="24"/>
              </w:rPr>
              <w:t>Пример проявления</w:t>
            </w:r>
          </w:p>
        </w:tc>
      </w:tr>
      <w:tr>
        <w:trPr>
          <w:trHeight w:val="553" w:hRule="atLeast"/>
          <w:jc w:val="center"/>
        </w:trPr>
        <w:tc>
          <w:tcPr>
            <w:cnfStyle w:val="001000100000"/>
            <w:tcW w:w="842" w:type="dxa"/>
          </w:tcPr>
          <w:p w14:paraId="000000D9">
            <w:pPr>
              <w:jc w:val="both"/>
              <w:rPr>
                <w:rFonts w:ascii="Times New Roman" w:cs="Times New Roman" w:hAnsi="Times New Roman"/>
                <w:sz w:val="24"/>
                <w:szCs w:val="24"/>
              </w:rPr>
            </w:pPr>
            <w:r>
              <w:rPr>
                <w:rFonts w:ascii="Times New Roman" w:cs="Times New Roman" w:hAnsi="Times New Roman"/>
                <w:sz w:val="24"/>
                <w:szCs w:val="24"/>
              </w:rPr>
              <w:t>Целенаправленность</w:t>
            </w:r>
          </w:p>
        </w:tc>
        <w:tc>
          <w:tcPr>
            <w:cnfStyle w:val="000000100000"/>
            <w:tcW w:w="0" w:type="auto"/>
          </w:tcPr>
          <w:p w14:paraId="000000DA">
            <w:pPr>
              <w:jc w:val="both"/>
              <w:rPr>
                <w:rFonts w:ascii="Times New Roman" w:cs="Times New Roman" w:hAnsi="Times New Roman"/>
                <w:sz w:val="24"/>
                <w:szCs w:val="24"/>
              </w:rPr>
            </w:pPr>
            <w:r>
              <w:rPr>
                <w:rFonts w:ascii="Times New Roman" w:cs="Times New Roman" w:hAnsi="Times New Roman"/>
                <w:sz w:val="24"/>
                <w:szCs w:val="24"/>
              </w:rPr>
              <w:t>Ориентация на достижение конкретных целей</w:t>
            </w:r>
          </w:p>
        </w:tc>
        <w:tc>
          <w:tcPr>
            <w:cnfStyle w:val="000000100000"/>
            <w:tcW w:w="0" w:type="auto"/>
          </w:tcPr>
          <w:p w14:paraId="000000DB">
            <w:pPr>
              <w:jc w:val="both"/>
              <w:rPr>
                <w:rFonts w:ascii="Times New Roman" w:cs="Times New Roman" w:hAnsi="Times New Roman"/>
                <w:sz w:val="24"/>
                <w:szCs w:val="24"/>
              </w:rPr>
            </w:pPr>
            <w:r>
              <w:rPr>
                <w:rFonts w:ascii="Times New Roman" w:cs="Times New Roman" w:hAnsi="Times New Roman"/>
                <w:sz w:val="24"/>
                <w:szCs w:val="24"/>
              </w:rPr>
              <w:t>Установленные показатели результата</w:t>
            </w:r>
          </w:p>
        </w:tc>
      </w:tr>
      <w:tr>
        <w:trPr>
          <w:trHeight w:val="552" w:hRule="atLeast"/>
          <w:jc w:val="center"/>
        </w:trPr>
        <w:tc>
          <w:tcPr>
            <w:cnfStyle w:val="001000010000"/>
            <w:tcW w:w="842" w:type="dxa"/>
          </w:tcPr>
          <w:p w14:paraId="000000DC">
            <w:pPr>
              <w:jc w:val="both"/>
              <w:rPr>
                <w:rFonts w:ascii="Times New Roman" w:cs="Times New Roman" w:hAnsi="Times New Roman"/>
                <w:sz w:val="24"/>
                <w:szCs w:val="24"/>
              </w:rPr>
            </w:pPr>
            <w:r>
              <w:rPr>
                <w:rFonts w:ascii="Times New Roman" w:cs="Times New Roman" w:hAnsi="Times New Roman"/>
                <w:sz w:val="24"/>
                <w:szCs w:val="24"/>
              </w:rPr>
              <w:t>Ограниченность во времени</w:t>
            </w:r>
          </w:p>
        </w:tc>
        <w:tc>
          <w:tcPr>
            <w:cnfStyle w:val="000000010000"/>
            <w:tcW w:w="0" w:type="auto"/>
          </w:tcPr>
          <w:p w14:paraId="000000DD">
            <w:pPr>
              <w:jc w:val="both"/>
              <w:rPr>
                <w:rFonts w:ascii="Times New Roman" w:cs="Times New Roman" w:hAnsi="Times New Roman"/>
                <w:sz w:val="24"/>
                <w:szCs w:val="24"/>
              </w:rPr>
            </w:pPr>
            <w:r>
              <w:rPr>
                <w:rFonts w:ascii="Times New Roman" w:cs="Times New Roman" w:hAnsi="Times New Roman"/>
                <w:sz w:val="24"/>
                <w:szCs w:val="24"/>
              </w:rPr>
              <w:t>Наличие сроков начала и окончания</w:t>
            </w:r>
          </w:p>
        </w:tc>
        <w:tc>
          <w:tcPr>
            <w:cnfStyle w:val="000000010000"/>
            <w:tcW w:w="0" w:type="auto"/>
          </w:tcPr>
          <w:p w14:paraId="000000DE">
            <w:pPr>
              <w:jc w:val="both"/>
              <w:rPr>
                <w:rFonts w:ascii="Times New Roman" w:cs="Times New Roman" w:hAnsi="Times New Roman"/>
                <w:sz w:val="24"/>
                <w:szCs w:val="24"/>
              </w:rPr>
            </w:pPr>
            <w:r>
              <w:rPr>
                <w:rFonts w:ascii="Times New Roman" w:cs="Times New Roman" w:hAnsi="Times New Roman"/>
                <w:sz w:val="24"/>
                <w:szCs w:val="24"/>
              </w:rPr>
              <w:t>Календарный план проекта</w:t>
            </w:r>
          </w:p>
        </w:tc>
      </w:tr>
      <w:tr>
        <w:trPr>
          <w:trHeight w:val="553" w:hRule="atLeast"/>
          <w:jc w:val="center"/>
        </w:trPr>
        <w:tc>
          <w:tcPr>
            <w:cnfStyle w:val="001000100000"/>
            <w:tcW w:w="842" w:type="dxa"/>
          </w:tcPr>
          <w:p w14:paraId="000000DF">
            <w:pPr>
              <w:jc w:val="both"/>
              <w:rPr>
                <w:rFonts w:ascii="Times New Roman" w:cs="Times New Roman" w:hAnsi="Times New Roman"/>
                <w:sz w:val="24"/>
                <w:szCs w:val="24"/>
              </w:rPr>
            </w:pPr>
            <w:r>
              <w:rPr>
                <w:rFonts w:ascii="Times New Roman" w:cs="Times New Roman" w:hAnsi="Times New Roman"/>
                <w:sz w:val="24"/>
                <w:szCs w:val="24"/>
              </w:rPr>
              <w:t>Уникальность</w:t>
            </w:r>
          </w:p>
        </w:tc>
        <w:tc>
          <w:tcPr>
            <w:cnfStyle w:val="000000100000"/>
            <w:tcW w:w="0" w:type="auto"/>
          </w:tcPr>
          <w:p w14:paraId="000000E0">
            <w:pPr>
              <w:jc w:val="both"/>
              <w:rPr>
                <w:rFonts w:ascii="Times New Roman" w:cs="Times New Roman" w:hAnsi="Times New Roman"/>
                <w:sz w:val="24"/>
                <w:szCs w:val="24"/>
              </w:rPr>
            </w:pPr>
            <w:r>
              <w:rPr>
                <w:rFonts w:ascii="Times New Roman" w:cs="Times New Roman" w:hAnsi="Times New Roman"/>
                <w:sz w:val="24"/>
                <w:szCs w:val="24"/>
              </w:rPr>
              <w:t>Создание нового, неповторимого результата</w:t>
            </w:r>
          </w:p>
        </w:tc>
        <w:tc>
          <w:tcPr>
            <w:cnfStyle w:val="000000100000"/>
            <w:tcW w:w="0" w:type="auto"/>
          </w:tcPr>
          <w:p w14:paraId="000000E1">
            <w:pPr>
              <w:jc w:val="both"/>
              <w:rPr>
                <w:rFonts w:ascii="Times New Roman" w:cs="Times New Roman" w:hAnsi="Times New Roman"/>
                <w:sz w:val="24"/>
                <w:szCs w:val="24"/>
              </w:rPr>
            </w:pPr>
            <w:r>
              <w:rPr>
                <w:rFonts w:ascii="Times New Roman" w:cs="Times New Roman" w:hAnsi="Times New Roman"/>
                <w:sz w:val="24"/>
                <w:szCs w:val="24"/>
              </w:rPr>
              <w:t>Отсутствие полных аналогов</w:t>
            </w:r>
          </w:p>
        </w:tc>
      </w:tr>
      <w:tr>
        <w:trPr>
          <w:trHeight w:val="552" w:hRule="atLeast"/>
          <w:jc w:val="center"/>
        </w:trPr>
        <w:tc>
          <w:tcPr>
            <w:cnfStyle w:val="001000010000"/>
            <w:tcW w:w="842" w:type="dxa"/>
          </w:tcPr>
          <w:p w14:paraId="000000E2">
            <w:pPr>
              <w:jc w:val="both"/>
              <w:rPr>
                <w:rFonts w:ascii="Times New Roman" w:cs="Times New Roman" w:hAnsi="Times New Roman"/>
                <w:sz w:val="24"/>
                <w:szCs w:val="24"/>
              </w:rPr>
            </w:pPr>
            <w:r>
              <w:rPr>
                <w:rFonts w:ascii="Times New Roman" w:cs="Times New Roman" w:hAnsi="Times New Roman"/>
                <w:sz w:val="24"/>
                <w:szCs w:val="24"/>
              </w:rPr>
              <w:t>Ресурсные ограничения</w:t>
            </w:r>
          </w:p>
        </w:tc>
        <w:tc>
          <w:tcPr>
            <w:cnfStyle w:val="000000010000"/>
            <w:tcW w:w="0" w:type="auto"/>
          </w:tcPr>
          <w:p w14:paraId="000000E3">
            <w:pPr>
              <w:jc w:val="both"/>
              <w:rPr>
                <w:rFonts w:ascii="Times New Roman" w:cs="Times New Roman" w:hAnsi="Times New Roman"/>
                <w:sz w:val="24"/>
                <w:szCs w:val="24"/>
              </w:rPr>
            </w:pPr>
            <w:r>
              <w:rPr>
                <w:rFonts w:ascii="Times New Roman" w:cs="Times New Roman" w:hAnsi="Times New Roman"/>
                <w:sz w:val="24"/>
                <w:szCs w:val="24"/>
              </w:rPr>
              <w:t>Выделенный бюджет, персонал, материалы</w:t>
            </w:r>
          </w:p>
        </w:tc>
        <w:tc>
          <w:tcPr>
            <w:cnfStyle w:val="000000010000"/>
            <w:tcW w:w="0" w:type="auto"/>
          </w:tcPr>
          <w:p w14:paraId="000000E4">
            <w:pPr>
              <w:jc w:val="both"/>
              <w:rPr>
                <w:rFonts w:ascii="Times New Roman" w:cs="Times New Roman" w:hAnsi="Times New Roman"/>
                <w:sz w:val="24"/>
                <w:szCs w:val="24"/>
              </w:rPr>
            </w:pPr>
            <w:r>
              <w:rPr>
                <w:rFonts w:ascii="Times New Roman" w:cs="Times New Roman" w:hAnsi="Times New Roman"/>
                <w:sz w:val="24"/>
                <w:szCs w:val="24"/>
              </w:rPr>
              <w:t>Смета расходов, штатное расписание</w:t>
            </w:r>
          </w:p>
        </w:tc>
      </w:tr>
      <w:tr>
        <w:trPr>
          <w:trHeight w:val="553" w:hRule="atLeast"/>
          <w:jc w:val="center"/>
        </w:trPr>
        <w:tc>
          <w:tcPr>
            <w:cnfStyle w:val="001000100000"/>
            <w:tcW w:w="842" w:type="dxa"/>
          </w:tcPr>
          <w:p w14:paraId="000000E5">
            <w:pPr>
              <w:jc w:val="both"/>
              <w:rPr>
                <w:rFonts w:ascii="Times New Roman" w:cs="Times New Roman" w:hAnsi="Times New Roman"/>
                <w:sz w:val="24"/>
                <w:szCs w:val="24"/>
              </w:rPr>
            </w:pPr>
            <w:r>
              <w:rPr>
                <w:rFonts w:ascii="Times New Roman" w:cs="Times New Roman" w:hAnsi="Times New Roman"/>
                <w:sz w:val="24"/>
                <w:szCs w:val="24"/>
              </w:rPr>
              <w:t>Неопределённость</w:t>
            </w:r>
          </w:p>
        </w:tc>
        <w:tc>
          <w:tcPr>
            <w:cnfStyle w:val="000000100000"/>
            <w:tcW w:w="0" w:type="auto"/>
          </w:tcPr>
          <w:p w14:paraId="000000E6">
            <w:pPr>
              <w:jc w:val="both"/>
              <w:rPr>
                <w:rFonts w:ascii="Times New Roman" w:cs="Times New Roman" w:hAnsi="Times New Roman"/>
                <w:sz w:val="24"/>
                <w:szCs w:val="24"/>
              </w:rPr>
            </w:pPr>
            <w:r>
              <w:rPr>
                <w:rFonts w:ascii="Times New Roman" w:cs="Times New Roman" w:hAnsi="Times New Roman"/>
                <w:sz w:val="24"/>
                <w:szCs w:val="24"/>
              </w:rPr>
              <w:t>Невозможность точного прогнозирования</w:t>
            </w:r>
          </w:p>
        </w:tc>
        <w:tc>
          <w:tcPr>
            <w:cnfStyle w:val="000000100000"/>
            <w:tcW w:w="0" w:type="auto"/>
          </w:tcPr>
          <w:p w14:paraId="000000E7">
            <w:pPr>
              <w:jc w:val="both"/>
              <w:rPr>
                <w:rFonts w:ascii="Times New Roman" w:cs="Times New Roman" w:hAnsi="Times New Roman"/>
                <w:sz w:val="24"/>
                <w:szCs w:val="24"/>
              </w:rPr>
            </w:pPr>
            <w:r>
              <w:rPr>
                <w:rFonts w:ascii="Times New Roman" w:cs="Times New Roman" w:hAnsi="Times New Roman"/>
                <w:sz w:val="24"/>
                <w:szCs w:val="24"/>
              </w:rPr>
              <w:t>Анализ рисков, сценарное планирование</w:t>
            </w:r>
          </w:p>
        </w:tc>
      </w:tr>
      <w:tr>
        <w:trPr>
          <w:trHeight w:val="552" w:hRule="atLeast"/>
          <w:jc w:val="center"/>
        </w:trPr>
        <w:tc>
          <w:tcPr>
            <w:cnfStyle w:val="001000010000"/>
            <w:tcW w:w="842" w:type="dxa"/>
          </w:tcPr>
          <w:p w14:paraId="000000E8">
            <w:pPr>
              <w:jc w:val="both"/>
              <w:rPr>
                <w:rFonts w:ascii="Times New Roman" w:cs="Times New Roman" w:hAnsi="Times New Roman"/>
                <w:sz w:val="24"/>
                <w:szCs w:val="24"/>
              </w:rPr>
            </w:pPr>
            <w:r>
              <w:rPr>
                <w:rFonts w:ascii="Times New Roman" w:cs="Times New Roman" w:hAnsi="Times New Roman"/>
                <w:sz w:val="24"/>
                <w:szCs w:val="24"/>
              </w:rPr>
              <w:t>Интеграция</w:t>
            </w:r>
          </w:p>
        </w:tc>
        <w:tc>
          <w:tcPr>
            <w:cnfStyle w:val="000000010000"/>
            <w:tcW w:w="0" w:type="auto"/>
          </w:tcPr>
          <w:p w14:paraId="000000E9">
            <w:pPr>
              <w:jc w:val="both"/>
              <w:rPr>
                <w:rFonts w:ascii="Times New Roman" w:cs="Times New Roman" w:hAnsi="Times New Roman"/>
                <w:sz w:val="24"/>
                <w:szCs w:val="24"/>
              </w:rPr>
            </w:pPr>
            <w:r>
              <w:rPr>
                <w:rFonts w:ascii="Times New Roman" w:cs="Times New Roman" w:hAnsi="Times New Roman"/>
                <w:sz w:val="24"/>
                <w:szCs w:val="24"/>
              </w:rPr>
              <w:t>Взаимосвязь всех элементов</w:t>
            </w:r>
          </w:p>
        </w:tc>
        <w:tc>
          <w:tcPr>
            <w:cnfStyle w:val="000000010000"/>
            <w:tcW w:w="0" w:type="auto"/>
          </w:tcPr>
          <w:p w14:paraId="000000EA">
            <w:pPr>
              <w:jc w:val="both"/>
              <w:rPr>
                <w:rFonts w:ascii="Times New Roman" w:cs="Times New Roman" w:hAnsi="Times New Roman"/>
                <w:sz w:val="24"/>
                <w:szCs w:val="24"/>
              </w:rPr>
            </w:pPr>
            <w:r>
              <w:rPr>
                <w:rFonts w:ascii="Times New Roman" w:cs="Times New Roman" w:hAnsi="Times New Roman"/>
                <w:sz w:val="24"/>
                <w:szCs w:val="24"/>
              </w:rPr>
              <w:t>Системный характер управления</w:t>
            </w:r>
          </w:p>
        </w:tc>
      </w:tr>
    </w:tbl>
    <w:p w14:paraId="000000EB">
      <w:pPr>
        <w:spacing w:beforeAutospacing="0" w:after="0" w:afterAutospacing="0" w:line="360" w:lineRule="auto"/>
        <w:ind w:firstLine="709"/>
        <w:jc w:val="both"/>
        <w:rPr>
          <w:rFonts w:ascii="Times New Roman" w:cs="Times New Roman" w:hAnsi="Times New Roman"/>
          <w:sz w:val="28"/>
          <w:szCs w:val="28"/>
        </w:rPr>
      </w:pPr>
    </w:p>
    <w:p w14:paraId="000000E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Проект как объект управления обладает шестью ключевыми характеристиками, которые в совокупности отличают его от иных видов деятельности. Целенаправленность, ограниченность во времени, уникальность, ресурсные ограничения, неопределённость и интеграция образуют систему свойств, требующих комплексного подхода к управлению. Игнорирование хотя бы одной из этих характеристик ведёт к неполноте управленческой модели и, как следствие, к снижению вероятности успешного завершения проекта.</w:t>
      </w:r>
    </w:p>
    <w:p w14:paraId="000000E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Участниками проекта являются физические и юридические лица, вовлечённые в реализацию проекта или заинтересованные в его результатах. В теории управления проектами используется понятие «стейкхолдеры» (заинтересованные стороны). К числу основных стейкхолдеров относятся заказчик (лицо, для которого реализуется проект), инвестор (лицо, предоставляющее финансирование), руководитель проекта (лицо, ответственное за достижение целей), команда проекта (совокупность специалистов, выполняющих работы), поставщики и подрядчики (внешние организации), а также конечные пользователи результатов проекта и общественность [30, с. 44].</w:t>
      </w:r>
    </w:p>
    <w:p w14:paraId="000000E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Эффективное управление стейкхолдерами является одним из ключевых факторов успеха проекта. Оно включает идентификацию всех заинтересованных сторон, анализ их ожиданий и степени влияния, разработку стратегии коммуникации и взаимодействия. Особое внимание должно уделяться конфликтующим интересам различных стейкхолдеров. Например, заказчик может требовать расширения функциональности, а инвестор – жёсткого соблюдения бюджета. Задача руководителя проекта заключается в поиске компромисса, не нарушающего достижение основных целей [19, с. 130].</w:t>
      </w:r>
    </w:p>
    <w:p w14:paraId="000000E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Классификация проектов может проводиться по различным основаниям. По масштабу различают малые, средние и крупные (мегапроекты). По сложности – простые, организационно сложные, технически сложные, ресурсно-сложные. По срокам реализации – краткосрочные (до одного года), среднесрочные (от одного до трёх лет) и долгосрочные (свыше трёх лет). По характеру предметной области – инвестиционные, инновационные, организационные, социальные, экологические и смешанные. По источникам финансирования – проекты с государственным финансированием, с частным финансированием, со смешанным финансированием [21, с. 37].</w:t>
      </w:r>
    </w:p>
    <w:p w14:paraId="000000F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Инвестиционные проекты занимают особое место в классификации, поскольку они связаны с вложением капитала с целью получения прибыли или иного полезного эффекта. Инвестиционный проект включает в себя комплекс мероприятий по созданию нового или модернизации действующего производства, освоению новой продукции, внедрению новых технологий. Оценка эффективности инвестиционных проектов является отдельной областью знаний, требующей применения специальных методов (расчёт чистого дисконтированного дохода, внутренней нормы доходности, срока окупаемости и др.) [34, с. 50].</w:t>
      </w:r>
    </w:p>
    <w:p w14:paraId="000000F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Управление проектом осуществляется через систему планов. Основными видами планов являются календарный план (определяет сроки выполнения работ), бюджет (определяет распределение финансовых ресурсов), план управления качеством (определяет требования к результатам и процедуры контроля), план управления рисками (определяет порядок идентификации, оценки и реагирования на риски), план коммуникаций (определяет порядок информационного обмена между участниками), план управления поставками (определяет порядок закупок товаров и услуг) </w:t>
      </w:r>
      <w:r>
        <w:rPr>
          <w:rFonts w:ascii="Times New Roman" w:cs="Times New Roman" w:hAnsi="Times New Roman"/>
          <w:sz w:val="28"/>
          <w:szCs w:val="28"/>
        </w:rPr>
        <w:t>[35]</w:t>
      </w:r>
      <w:r>
        <w:rPr>
          <w:rFonts w:ascii="Times New Roman" w:cs="Times New Roman" w:hAnsi="Times New Roman"/>
          <w:sz w:val="28"/>
          <w:szCs w:val="28"/>
        </w:rPr>
        <w:t>. Совокупность этих планов образует единый план управления разрабатываемым проектом.</w:t>
      </w:r>
    </w:p>
    <w:p w14:paraId="000000F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таблице 1.3 представлены виды планов в системе управления проектом.</w:t>
      </w:r>
    </w:p>
    <w:p w14:paraId="000000F3">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 xml:space="preserve">Таблица 1.3 – Виды планов в управлении проектом </w:t>
      </w:r>
      <w:r>
        <w:rPr>
          <w:rFonts w:ascii="Times New Roman" w:cs="Times New Roman" w:hAnsi="Times New Roman"/>
          <w:iCs/>
          <w:sz w:val="28"/>
          <w:szCs w:val="28"/>
        </w:rPr>
        <w:t>[35, с. 30]</w:t>
      </w:r>
    </w:p>
    <w:tbl>
      <w:tblPr>
        <w:tblStyle w:val="TableGrid"/>
        <w:tblW w:w="9584" w:type="dxa"/>
        <w:jc w:val="center"/>
        <w:tblLook w:val="04A0"/>
      </w:tblPr>
      <w:tblGrid>
        <w:gridCol w:w="2405"/>
        <w:gridCol w:w="4282"/>
        <w:gridCol w:w="2897"/>
      </w:tblGrid>
      <w:tr>
        <w:trPr>
          <w:jc w:val="center"/>
        </w:trPr>
        <w:tc>
          <w:tcPr>
            <w:cnfStyle w:val="101000000000"/>
            <w:tcW w:w="2405" w:type="dxa"/>
          </w:tcPr>
          <w:p w14:paraId="000000F4">
            <w:pPr>
              <w:jc w:val="center"/>
              <w:rPr>
                <w:rFonts w:ascii="Times New Roman" w:cs="Times New Roman" w:hAnsi="Times New Roman"/>
                <w:sz w:val="24"/>
                <w:szCs w:val="24"/>
              </w:rPr>
            </w:pPr>
            <w:r>
              <w:rPr>
                <w:rFonts w:ascii="Times New Roman" w:cs="Times New Roman" w:hAnsi="Times New Roman"/>
                <w:sz w:val="24"/>
                <w:szCs w:val="24"/>
              </w:rPr>
              <w:t>Вид плана</w:t>
            </w:r>
          </w:p>
        </w:tc>
        <w:tc>
          <w:tcPr>
            <w:cnfStyle w:val="100000000000"/>
            <w:tcW w:w="4282" w:type="dxa"/>
          </w:tcPr>
          <w:p w14:paraId="000000F5">
            <w:pPr>
              <w:jc w:val="center"/>
              <w:rPr>
                <w:rFonts w:ascii="Times New Roman" w:cs="Times New Roman" w:hAnsi="Times New Roman"/>
                <w:sz w:val="24"/>
                <w:szCs w:val="24"/>
              </w:rPr>
            </w:pPr>
            <w:r>
              <w:rPr>
                <w:rFonts w:ascii="Times New Roman" w:cs="Times New Roman" w:hAnsi="Times New Roman"/>
                <w:sz w:val="24"/>
                <w:szCs w:val="24"/>
              </w:rPr>
              <w:t>Содержание</w:t>
            </w:r>
          </w:p>
        </w:tc>
        <w:tc>
          <w:tcPr>
            <w:cnfStyle w:val="100000000000"/>
            <w:tcW w:w="0" w:type="auto"/>
          </w:tcPr>
          <w:p w14:paraId="000000F6">
            <w:pPr>
              <w:jc w:val="center"/>
              <w:rPr>
                <w:rFonts w:ascii="Times New Roman" w:cs="Times New Roman" w:hAnsi="Times New Roman"/>
                <w:sz w:val="24"/>
                <w:szCs w:val="24"/>
              </w:rPr>
            </w:pPr>
            <w:r>
              <w:rPr>
                <w:rFonts w:ascii="Times New Roman" w:cs="Times New Roman" w:hAnsi="Times New Roman"/>
                <w:sz w:val="24"/>
                <w:szCs w:val="24"/>
              </w:rPr>
              <w:t>Ответственный за разработку</w:t>
            </w:r>
          </w:p>
        </w:tc>
      </w:tr>
      <w:tr>
        <w:trPr>
          <w:jc w:val="center"/>
        </w:trPr>
        <w:tc>
          <w:tcPr>
            <w:cnfStyle w:val="001000100000"/>
            <w:tcW w:w="2405" w:type="dxa"/>
          </w:tcPr>
          <w:p w14:paraId="000000F7">
            <w:pPr>
              <w:jc w:val="both"/>
              <w:rPr>
                <w:rFonts w:ascii="Times New Roman" w:cs="Times New Roman" w:hAnsi="Times New Roman"/>
                <w:sz w:val="24"/>
                <w:szCs w:val="24"/>
              </w:rPr>
            </w:pPr>
            <w:r>
              <w:rPr>
                <w:rFonts w:ascii="Times New Roman" w:cs="Times New Roman" w:hAnsi="Times New Roman"/>
                <w:sz w:val="24"/>
                <w:szCs w:val="24"/>
              </w:rPr>
              <w:t>Календарный план</w:t>
            </w:r>
          </w:p>
        </w:tc>
        <w:tc>
          <w:tcPr>
            <w:cnfStyle w:val="000000100000"/>
            <w:tcW w:w="4282" w:type="dxa"/>
          </w:tcPr>
          <w:p w14:paraId="000000F8">
            <w:pPr>
              <w:jc w:val="both"/>
              <w:rPr>
                <w:rFonts w:ascii="Times New Roman" w:cs="Times New Roman" w:hAnsi="Times New Roman"/>
                <w:sz w:val="24"/>
                <w:szCs w:val="24"/>
              </w:rPr>
            </w:pPr>
            <w:r>
              <w:rPr>
                <w:rFonts w:ascii="Times New Roman" w:cs="Times New Roman" w:hAnsi="Times New Roman"/>
                <w:sz w:val="24"/>
                <w:szCs w:val="24"/>
              </w:rPr>
              <w:t>Сроки выполнения работ, взаимосвязи операций</w:t>
            </w:r>
          </w:p>
        </w:tc>
        <w:tc>
          <w:tcPr>
            <w:cnfStyle w:val="000000100000"/>
            <w:tcW w:w="0" w:type="auto"/>
          </w:tcPr>
          <w:p w14:paraId="000000F9">
            <w:pPr>
              <w:jc w:val="both"/>
              <w:rPr>
                <w:rFonts w:ascii="Times New Roman" w:cs="Times New Roman" w:hAnsi="Times New Roman"/>
                <w:sz w:val="24"/>
                <w:szCs w:val="24"/>
              </w:rPr>
            </w:pPr>
            <w:r>
              <w:rPr>
                <w:rFonts w:ascii="Times New Roman" w:cs="Times New Roman" w:hAnsi="Times New Roman"/>
                <w:sz w:val="24"/>
                <w:szCs w:val="24"/>
              </w:rPr>
              <w:t>Руководитель проекта</w:t>
            </w:r>
          </w:p>
        </w:tc>
      </w:tr>
      <w:tr>
        <w:trPr>
          <w:jc w:val="center"/>
        </w:trPr>
        <w:tc>
          <w:tcPr>
            <w:cnfStyle w:val="001000010000"/>
            <w:tcW w:w="2405" w:type="dxa"/>
          </w:tcPr>
          <w:p w14:paraId="000000FA">
            <w:pPr>
              <w:jc w:val="both"/>
              <w:rPr>
                <w:rFonts w:ascii="Times New Roman" w:cs="Times New Roman" w:hAnsi="Times New Roman"/>
                <w:sz w:val="24"/>
                <w:szCs w:val="24"/>
              </w:rPr>
            </w:pPr>
            <w:r>
              <w:rPr>
                <w:rFonts w:ascii="Times New Roman" w:cs="Times New Roman" w:hAnsi="Times New Roman"/>
                <w:sz w:val="24"/>
                <w:szCs w:val="24"/>
              </w:rPr>
              <w:t>Бюджет</w:t>
            </w:r>
          </w:p>
        </w:tc>
        <w:tc>
          <w:tcPr>
            <w:cnfStyle w:val="000000010000"/>
            <w:tcW w:w="4282" w:type="dxa"/>
          </w:tcPr>
          <w:p w14:paraId="000000FB">
            <w:pPr>
              <w:jc w:val="both"/>
              <w:rPr>
                <w:rFonts w:ascii="Times New Roman" w:cs="Times New Roman" w:hAnsi="Times New Roman"/>
                <w:sz w:val="24"/>
                <w:szCs w:val="24"/>
              </w:rPr>
            </w:pPr>
            <w:r>
              <w:rPr>
                <w:rFonts w:ascii="Times New Roman" w:cs="Times New Roman" w:hAnsi="Times New Roman"/>
                <w:sz w:val="24"/>
                <w:szCs w:val="24"/>
              </w:rPr>
              <w:t>Распределение финансовых ресурсов по статьям затрат</w:t>
            </w:r>
          </w:p>
        </w:tc>
        <w:tc>
          <w:tcPr>
            <w:cnfStyle w:val="000000010000"/>
            <w:tcW w:w="0" w:type="auto"/>
          </w:tcPr>
          <w:p w14:paraId="000000FC">
            <w:pPr>
              <w:jc w:val="both"/>
              <w:rPr>
                <w:rFonts w:ascii="Times New Roman" w:cs="Times New Roman" w:hAnsi="Times New Roman"/>
                <w:sz w:val="24"/>
                <w:szCs w:val="24"/>
              </w:rPr>
            </w:pPr>
            <w:r>
              <w:rPr>
                <w:rFonts w:ascii="Times New Roman" w:cs="Times New Roman" w:hAnsi="Times New Roman"/>
                <w:sz w:val="24"/>
                <w:szCs w:val="24"/>
              </w:rPr>
              <w:t>Финансовый менеджер</w:t>
            </w:r>
          </w:p>
        </w:tc>
      </w:tr>
      <w:tr>
        <w:trPr>
          <w:jc w:val="center"/>
        </w:trPr>
        <w:tc>
          <w:tcPr>
            <w:cnfStyle w:val="001000100000"/>
            <w:tcW w:w="2405" w:type="dxa"/>
          </w:tcPr>
          <w:p w14:paraId="000000FD">
            <w:pPr>
              <w:jc w:val="both"/>
              <w:rPr>
                <w:rFonts w:ascii="Times New Roman" w:cs="Times New Roman" w:hAnsi="Times New Roman"/>
                <w:sz w:val="24"/>
                <w:szCs w:val="24"/>
              </w:rPr>
            </w:pPr>
            <w:r>
              <w:rPr>
                <w:rFonts w:ascii="Times New Roman" w:cs="Times New Roman" w:hAnsi="Times New Roman"/>
                <w:sz w:val="24"/>
                <w:szCs w:val="24"/>
              </w:rPr>
              <w:t>План управления качеством</w:t>
            </w:r>
          </w:p>
        </w:tc>
        <w:tc>
          <w:tcPr>
            <w:cnfStyle w:val="000000100000"/>
            <w:tcW w:w="4282" w:type="dxa"/>
          </w:tcPr>
          <w:p w14:paraId="000000FE">
            <w:pPr>
              <w:jc w:val="both"/>
              <w:rPr>
                <w:rFonts w:ascii="Times New Roman" w:cs="Times New Roman" w:hAnsi="Times New Roman"/>
                <w:sz w:val="24"/>
                <w:szCs w:val="24"/>
              </w:rPr>
            </w:pPr>
            <w:r>
              <w:rPr>
                <w:rFonts w:ascii="Times New Roman" w:cs="Times New Roman" w:hAnsi="Times New Roman"/>
                <w:sz w:val="24"/>
                <w:szCs w:val="24"/>
              </w:rPr>
              <w:t>Требования к результатам, процедуры контроля</w:t>
            </w:r>
          </w:p>
        </w:tc>
        <w:tc>
          <w:tcPr>
            <w:cnfStyle w:val="000000100000"/>
            <w:tcW w:w="0" w:type="auto"/>
          </w:tcPr>
          <w:p w14:paraId="000000FF">
            <w:pPr>
              <w:jc w:val="both"/>
              <w:rPr>
                <w:rFonts w:ascii="Times New Roman" w:cs="Times New Roman" w:hAnsi="Times New Roman"/>
                <w:sz w:val="24"/>
                <w:szCs w:val="24"/>
              </w:rPr>
            </w:pPr>
            <w:r>
              <w:rPr>
                <w:rFonts w:ascii="Times New Roman" w:cs="Times New Roman" w:hAnsi="Times New Roman"/>
                <w:sz w:val="24"/>
                <w:szCs w:val="24"/>
              </w:rPr>
              <w:t>Менеджер по качеству</w:t>
            </w:r>
          </w:p>
        </w:tc>
      </w:tr>
      <w:tr>
        <w:trPr>
          <w:jc w:val="center"/>
        </w:trPr>
        <w:tc>
          <w:tcPr>
            <w:cnfStyle w:val="001000010000"/>
            <w:tcW w:w="2405" w:type="dxa"/>
          </w:tcPr>
          <w:p w14:paraId="00000100">
            <w:pPr>
              <w:jc w:val="both"/>
              <w:rPr>
                <w:rFonts w:ascii="Times New Roman" w:cs="Times New Roman" w:hAnsi="Times New Roman"/>
                <w:sz w:val="24"/>
                <w:szCs w:val="24"/>
              </w:rPr>
            </w:pPr>
            <w:r>
              <w:rPr>
                <w:rFonts w:ascii="Times New Roman" w:cs="Times New Roman" w:hAnsi="Times New Roman"/>
                <w:sz w:val="24"/>
                <w:szCs w:val="24"/>
              </w:rPr>
              <w:t>План управления рисками</w:t>
            </w:r>
          </w:p>
        </w:tc>
        <w:tc>
          <w:tcPr>
            <w:cnfStyle w:val="000000010000"/>
            <w:tcW w:w="4282" w:type="dxa"/>
          </w:tcPr>
          <w:p w14:paraId="00000101">
            <w:pPr>
              <w:jc w:val="both"/>
              <w:rPr>
                <w:rFonts w:ascii="Times New Roman" w:cs="Times New Roman" w:hAnsi="Times New Roman"/>
                <w:sz w:val="24"/>
                <w:szCs w:val="24"/>
              </w:rPr>
            </w:pPr>
            <w:r>
              <w:rPr>
                <w:rFonts w:ascii="Times New Roman" w:cs="Times New Roman" w:hAnsi="Times New Roman"/>
                <w:sz w:val="24"/>
                <w:szCs w:val="24"/>
              </w:rPr>
              <w:t>Идентификация рисков, меры реагирования</w:t>
            </w:r>
          </w:p>
        </w:tc>
        <w:tc>
          <w:tcPr>
            <w:cnfStyle w:val="000000010000"/>
            <w:tcW w:w="0" w:type="auto"/>
          </w:tcPr>
          <w:p w14:paraId="00000102">
            <w:pPr>
              <w:jc w:val="both"/>
              <w:rPr>
                <w:rFonts w:ascii="Times New Roman" w:cs="Times New Roman" w:hAnsi="Times New Roman"/>
                <w:sz w:val="24"/>
                <w:szCs w:val="24"/>
              </w:rPr>
            </w:pPr>
            <w:r>
              <w:rPr>
                <w:rFonts w:ascii="Times New Roman" w:cs="Times New Roman" w:hAnsi="Times New Roman"/>
                <w:sz w:val="24"/>
                <w:szCs w:val="24"/>
              </w:rPr>
              <w:t>Риск-менеджер</w:t>
            </w:r>
          </w:p>
        </w:tc>
      </w:tr>
      <w:tr>
        <w:trPr>
          <w:jc w:val="center"/>
        </w:trPr>
        <w:tc>
          <w:tcPr>
            <w:cnfStyle w:val="001000100000"/>
            <w:tcW w:w="2405" w:type="dxa"/>
          </w:tcPr>
          <w:p w14:paraId="00000103">
            <w:pPr>
              <w:jc w:val="both"/>
              <w:rPr>
                <w:rFonts w:ascii="Times New Roman" w:cs="Times New Roman" w:hAnsi="Times New Roman"/>
                <w:sz w:val="24"/>
                <w:szCs w:val="24"/>
              </w:rPr>
            </w:pPr>
            <w:r>
              <w:rPr>
                <w:rFonts w:ascii="Times New Roman" w:cs="Times New Roman" w:hAnsi="Times New Roman"/>
                <w:sz w:val="24"/>
                <w:szCs w:val="24"/>
              </w:rPr>
              <w:t>План коммуникаций</w:t>
            </w:r>
          </w:p>
        </w:tc>
        <w:tc>
          <w:tcPr>
            <w:cnfStyle w:val="000000100000"/>
            <w:tcW w:w="4282" w:type="dxa"/>
          </w:tcPr>
          <w:p w14:paraId="00000104">
            <w:pPr>
              <w:jc w:val="both"/>
              <w:rPr>
                <w:rFonts w:ascii="Times New Roman" w:cs="Times New Roman" w:hAnsi="Times New Roman"/>
                <w:sz w:val="24"/>
                <w:szCs w:val="24"/>
              </w:rPr>
            </w:pPr>
            <w:r>
              <w:rPr>
                <w:rFonts w:ascii="Times New Roman" w:cs="Times New Roman" w:hAnsi="Times New Roman"/>
                <w:sz w:val="24"/>
                <w:szCs w:val="24"/>
              </w:rPr>
              <w:t>Порядок информирования участников</w:t>
            </w:r>
          </w:p>
        </w:tc>
        <w:tc>
          <w:tcPr>
            <w:cnfStyle w:val="000000100000"/>
            <w:tcW w:w="0" w:type="auto"/>
          </w:tcPr>
          <w:p w14:paraId="00000105">
            <w:pPr>
              <w:jc w:val="both"/>
              <w:rPr>
                <w:rFonts w:ascii="Times New Roman" w:cs="Times New Roman" w:hAnsi="Times New Roman"/>
                <w:sz w:val="24"/>
                <w:szCs w:val="24"/>
              </w:rPr>
            </w:pPr>
            <w:r>
              <w:rPr>
                <w:rFonts w:ascii="Times New Roman" w:cs="Times New Roman" w:hAnsi="Times New Roman"/>
                <w:sz w:val="24"/>
                <w:szCs w:val="24"/>
              </w:rPr>
              <w:t>Руководитель проекта</w:t>
            </w:r>
          </w:p>
        </w:tc>
      </w:tr>
      <w:tr>
        <w:trPr>
          <w:jc w:val="center"/>
        </w:trPr>
        <w:tc>
          <w:tcPr>
            <w:cnfStyle w:val="001000010000"/>
            <w:tcW w:w="2405" w:type="dxa"/>
          </w:tcPr>
          <w:p w14:paraId="00000106">
            <w:pPr>
              <w:jc w:val="both"/>
              <w:rPr>
                <w:rFonts w:ascii="Times New Roman" w:cs="Times New Roman" w:hAnsi="Times New Roman"/>
                <w:sz w:val="24"/>
                <w:szCs w:val="24"/>
              </w:rPr>
            </w:pPr>
            <w:r>
              <w:rPr>
                <w:rFonts w:ascii="Times New Roman" w:cs="Times New Roman" w:hAnsi="Times New Roman"/>
                <w:sz w:val="24"/>
                <w:szCs w:val="24"/>
              </w:rPr>
              <w:t>План управления поставками</w:t>
            </w:r>
          </w:p>
        </w:tc>
        <w:tc>
          <w:tcPr>
            <w:cnfStyle w:val="000000010000"/>
            <w:tcW w:w="4282" w:type="dxa"/>
          </w:tcPr>
          <w:p w14:paraId="00000107">
            <w:pPr>
              <w:jc w:val="both"/>
              <w:rPr>
                <w:rFonts w:ascii="Times New Roman" w:cs="Times New Roman" w:hAnsi="Times New Roman"/>
                <w:sz w:val="24"/>
                <w:szCs w:val="24"/>
              </w:rPr>
            </w:pPr>
            <w:r>
              <w:rPr>
                <w:rFonts w:ascii="Times New Roman" w:cs="Times New Roman" w:hAnsi="Times New Roman"/>
                <w:sz w:val="24"/>
                <w:szCs w:val="24"/>
              </w:rPr>
              <w:t>Порядок закупок, выбор поставщиков</w:t>
            </w:r>
          </w:p>
        </w:tc>
        <w:tc>
          <w:tcPr>
            <w:cnfStyle w:val="000000010000"/>
            <w:tcW w:w="0" w:type="auto"/>
          </w:tcPr>
          <w:p w14:paraId="00000108">
            <w:pPr>
              <w:jc w:val="both"/>
              <w:rPr>
                <w:rFonts w:ascii="Times New Roman" w:cs="Times New Roman" w:hAnsi="Times New Roman"/>
                <w:sz w:val="24"/>
                <w:szCs w:val="24"/>
              </w:rPr>
            </w:pPr>
            <w:r>
              <w:rPr>
                <w:rFonts w:ascii="Times New Roman" w:cs="Times New Roman" w:hAnsi="Times New Roman"/>
                <w:sz w:val="24"/>
                <w:szCs w:val="24"/>
              </w:rPr>
              <w:t>Менеджер по закупкам</w:t>
            </w:r>
          </w:p>
        </w:tc>
      </w:tr>
    </w:tbl>
    <w:p w14:paraId="00000109">
      <w:pPr>
        <w:spacing w:beforeAutospacing="0" w:after="0" w:afterAutospacing="0" w:line="360" w:lineRule="auto"/>
        <w:ind w:firstLine="709"/>
        <w:jc w:val="both"/>
        <w:rPr>
          <w:rFonts w:ascii="Times New Roman" w:cs="Times New Roman" w:hAnsi="Times New Roman"/>
          <w:sz w:val="28"/>
          <w:szCs w:val="28"/>
        </w:rPr>
      </w:pPr>
    </w:p>
    <w:p w14:paraId="0000010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Система планов в управлении проектом является многоуровневой и многоаспектной. Каждый план решает специфические задачи, а их совокупность обеспечивает целостность управления. Разработка планов должна осуществляться на начальных стадиях проекта, однако в ходе реализации планы могут и должны корректироваться с учётом изменяющихся условий. Отсутствие детального планирования по какому-либо из направлений создаёт риск возникновения проблем на последующих стадиях [28, с. 147].</w:t>
      </w:r>
    </w:p>
    <w:p w14:paraId="0000010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Управление стоимостью проекта включает три основных процесса: оценку стоимости (приблизительный расчёт затрат), разработку бюджета (распределение утверждённых средств) и контроль стоимости (отслеживание отклонений). Для оценки стоимости используются методы аналогий (на основе опыта предыдущих проектов), параметрические методы (на основе нормативов), метод «снизу вверх» (детальный расчёт по каждой операции) и метод «сверху вниз» (назначение бюджета на основе общих параметров). Контроль стоимости осуществляется на основе методики «освоенного объёма», которая позволяет оценить не только фактические затраты, но и степень выполнения запланированных работ [37, с. 180].</w:t>
      </w:r>
    </w:p>
    <w:p w14:paraId="0000010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Управление качеством в проектах базируется на принципах всеобщего управления качеством (TQM). Оно включает планирование качества (определение стандартов и критериев), обеспечение качества (создание уверенности, что требования будут выполнены) и контроль качества (проверка соответствия результатов). Применяются такие инструменты, как контрольные листы, диаграммы Парето, гистограммы, контрольные карты, диаграммы Исикавы («рыбья кость») и диаграммы рассеивания. Выбор инструментов зависит от характера проекта и специфики создаваемого продукта [48, с. 19].</w:t>
      </w:r>
    </w:p>
    <w:p w14:paraId="0000010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Управление рисками включает идентификацию рисков (выявление возможных угроз и возможностей), качественный анализ (оценка вероятности и последствий), количественный анализ (численная оценка влияния на цели), планирование реагирования (разработка мер по снижению угроз и использованию возможностей) и мониторинг рисков (отслеживание и контроль) [33, с. 99]. Существуют четыре основные стратегии реагирования на угрозы: уклонение (изменение плана), передача (перекладывание ответственности на третью сторону), снижение (уменьшение вероятности или последствий) и принятие (осознанное согласие с риском) [45, с. 11].</w:t>
      </w:r>
    </w:p>
    <w:p w14:paraId="0000010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таблице 1.4 представлены стратегии реагирования на риски.</w:t>
      </w:r>
    </w:p>
    <w:p w14:paraId="0000010F">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1.4 – Стратегии реагирования на риски в проекте [45, с. 43]</w:t>
      </w:r>
    </w:p>
    <w:tbl>
      <w:tblPr>
        <w:tblStyle w:val="TableGrid"/>
        <w:tblW w:w="9457" w:type="dxa"/>
        <w:tblInd w:w="-5" w:type="dxa"/>
        <w:tblLook w:val="04A0"/>
      </w:tblPr>
      <w:tblGrid>
        <w:gridCol w:w="1341"/>
        <w:gridCol w:w="4797"/>
        <w:gridCol w:w="3319"/>
      </w:tblGrid>
      <w:tr>
        <w:trPr/>
        <w:tc>
          <w:tcPr>
            <w:cnfStyle w:val="101000000000"/>
            <w:tcW w:w="1341" w:type="dxa"/>
          </w:tcPr>
          <w:p w14:paraId="00000110">
            <w:pPr>
              <w:jc w:val="center"/>
              <w:rPr>
                <w:rFonts w:ascii="Times New Roman" w:cs="Times New Roman" w:hAnsi="Times New Roman"/>
                <w:sz w:val="24"/>
                <w:szCs w:val="24"/>
              </w:rPr>
            </w:pPr>
            <w:r>
              <w:rPr>
                <w:rFonts w:ascii="Times New Roman" w:cs="Times New Roman" w:hAnsi="Times New Roman"/>
                <w:sz w:val="24"/>
                <w:szCs w:val="24"/>
              </w:rPr>
              <w:t>Стратегия</w:t>
            </w:r>
          </w:p>
        </w:tc>
        <w:tc>
          <w:tcPr>
            <w:cnfStyle w:val="100000000000"/>
            <w:tcW w:w="0" w:type="auto"/>
          </w:tcPr>
          <w:p w14:paraId="00000111">
            <w:pPr>
              <w:jc w:val="center"/>
              <w:rPr>
                <w:rFonts w:ascii="Times New Roman" w:cs="Times New Roman" w:hAnsi="Times New Roman"/>
                <w:sz w:val="24"/>
                <w:szCs w:val="24"/>
              </w:rPr>
            </w:pPr>
            <w:r>
              <w:rPr>
                <w:rFonts w:ascii="Times New Roman" w:cs="Times New Roman" w:hAnsi="Times New Roman"/>
                <w:sz w:val="24"/>
                <w:szCs w:val="24"/>
              </w:rPr>
              <w:t>Сущность</w:t>
            </w:r>
          </w:p>
        </w:tc>
        <w:tc>
          <w:tcPr>
            <w:cnfStyle w:val="100000000000"/>
            <w:tcW w:w="3319" w:type="dxa"/>
          </w:tcPr>
          <w:p w14:paraId="00000112">
            <w:pPr>
              <w:jc w:val="center"/>
              <w:rPr>
                <w:rFonts w:ascii="Times New Roman" w:cs="Times New Roman" w:hAnsi="Times New Roman"/>
                <w:sz w:val="24"/>
                <w:szCs w:val="24"/>
              </w:rPr>
            </w:pPr>
            <w:r>
              <w:rPr>
                <w:rFonts w:ascii="Times New Roman" w:cs="Times New Roman" w:hAnsi="Times New Roman"/>
                <w:sz w:val="24"/>
                <w:szCs w:val="24"/>
              </w:rPr>
              <w:t>Пример применения</w:t>
            </w:r>
          </w:p>
        </w:tc>
      </w:tr>
      <w:tr>
        <w:trPr/>
        <w:tc>
          <w:tcPr>
            <w:cnfStyle w:val="001000100000"/>
            <w:tcW w:w="1341" w:type="dxa"/>
          </w:tcPr>
          <w:p w14:paraId="00000113">
            <w:pPr>
              <w:jc w:val="both"/>
              <w:rPr>
                <w:rFonts w:ascii="Times New Roman" w:cs="Times New Roman" w:hAnsi="Times New Roman"/>
                <w:sz w:val="24"/>
                <w:szCs w:val="24"/>
              </w:rPr>
            </w:pPr>
            <w:r>
              <w:rPr>
                <w:rFonts w:ascii="Times New Roman" w:cs="Times New Roman" w:hAnsi="Times New Roman"/>
                <w:sz w:val="24"/>
                <w:szCs w:val="24"/>
              </w:rPr>
              <w:t>Уклонение</w:t>
            </w:r>
          </w:p>
        </w:tc>
        <w:tc>
          <w:tcPr>
            <w:cnfStyle w:val="000000100000"/>
            <w:tcW w:w="0" w:type="auto"/>
          </w:tcPr>
          <w:p w14:paraId="00000114">
            <w:pPr>
              <w:jc w:val="both"/>
              <w:rPr>
                <w:rFonts w:ascii="Times New Roman" w:cs="Times New Roman" w:hAnsi="Times New Roman"/>
                <w:sz w:val="24"/>
                <w:szCs w:val="24"/>
              </w:rPr>
            </w:pPr>
            <w:r>
              <w:rPr>
                <w:rFonts w:ascii="Times New Roman" w:cs="Times New Roman" w:hAnsi="Times New Roman"/>
                <w:sz w:val="24"/>
                <w:szCs w:val="24"/>
              </w:rPr>
              <w:t>Изменение плана для устранения риска</w:t>
            </w:r>
          </w:p>
        </w:tc>
        <w:tc>
          <w:tcPr>
            <w:cnfStyle w:val="000000100000"/>
            <w:tcW w:w="3319" w:type="dxa"/>
          </w:tcPr>
          <w:p w14:paraId="00000115">
            <w:pPr>
              <w:jc w:val="both"/>
              <w:rPr>
                <w:rFonts w:ascii="Times New Roman" w:cs="Times New Roman" w:hAnsi="Times New Roman"/>
                <w:sz w:val="24"/>
                <w:szCs w:val="24"/>
              </w:rPr>
            </w:pPr>
            <w:r>
              <w:rPr>
                <w:rFonts w:ascii="Times New Roman" w:cs="Times New Roman" w:hAnsi="Times New Roman"/>
                <w:sz w:val="24"/>
                <w:szCs w:val="24"/>
              </w:rPr>
              <w:t>Отказ от работы с ненадёжным поставщиком</w:t>
            </w:r>
          </w:p>
        </w:tc>
      </w:tr>
      <w:tr>
        <w:trPr/>
        <w:tc>
          <w:tcPr>
            <w:cnfStyle w:val="001000010000"/>
            <w:tcW w:w="1341" w:type="dxa"/>
          </w:tcPr>
          <w:p w14:paraId="00000116">
            <w:pPr>
              <w:jc w:val="both"/>
              <w:rPr>
                <w:rFonts w:ascii="Times New Roman" w:cs="Times New Roman" w:hAnsi="Times New Roman"/>
                <w:sz w:val="24"/>
                <w:szCs w:val="24"/>
              </w:rPr>
            </w:pPr>
            <w:r>
              <w:rPr>
                <w:rFonts w:ascii="Times New Roman" w:cs="Times New Roman" w:hAnsi="Times New Roman"/>
                <w:sz w:val="24"/>
                <w:szCs w:val="24"/>
              </w:rPr>
              <w:t>Передача</w:t>
            </w:r>
          </w:p>
        </w:tc>
        <w:tc>
          <w:tcPr>
            <w:cnfStyle w:val="000000010000"/>
            <w:tcW w:w="0" w:type="auto"/>
          </w:tcPr>
          <w:p w14:paraId="00000117">
            <w:pPr>
              <w:jc w:val="both"/>
              <w:rPr>
                <w:rFonts w:ascii="Times New Roman" w:cs="Times New Roman" w:hAnsi="Times New Roman"/>
                <w:sz w:val="24"/>
                <w:szCs w:val="24"/>
              </w:rPr>
            </w:pPr>
            <w:r>
              <w:rPr>
                <w:rFonts w:ascii="Times New Roman" w:cs="Times New Roman" w:hAnsi="Times New Roman"/>
                <w:sz w:val="24"/>
                <w:szCs w:val="24"/>
              </w:rPr>
              <w:t>Перекладывание ответственности на третью сторону</w:t>
            </w:r>
          </w:p>
        </w:tc>
        <w:tc>
          <w:tcPr>
            <w:cnfStyle w:val="000000010000"/>
            <w:tcW w:w="3319" w:type="dxa"/>
          </w:tcPr>
          <w:p w14:paraId="00000118">
            <w:pPr>
              <w:jc w:val="both"/>
              <w:rPr>
                <w:rFonts w:ascii="Times New Roman" w:cs="Times New Roman" w:hAnsi="Times New Roman"/>
                <w:sz w:val="24"/>
                <w:szCs w:val="24"/>
              </w:rPr>
            </w:pPr>
            <w:r>
              <w:rPr>
                <w:rFonts w:ascii="Times New Roman" w:cs="Times New Roman" w:hAnsi="Times New Roman"/>
                <w:sz w:val="24"/>
                <w:szCs w:val="24"/>
              </w:rPr>
              <w:t>Страхование, аутсорсинг</w:t>
            </w:r>
          </w:p>
        </w:tc>
      </w:tr>
      <w:tr>
        <w:trPr/>
        <w:tc>
          <w:tcPr>
            <w:cnfStyle w:val="001000100000"/>
            <w:tcW w:w="1341" w:type="dxa"/>
          </w:tcPr>
          <w:p w14:paraId="00000119">
            <w:pPr>
              <w:jc w:val="both"/>
              <w:rPr>
                <w:rFonts w:ascii="Times New Roman" w:cs="Times New Roman" w:hAnsi="Times New Roman"/>
                <w:sz w:val="24"/>
                <w:szCs w:val="24"/>
              </w:rPr>
            </w:pPr>
            <w:r>
              <w:rPr>
                <w:rFonts w:ascii="Times New Roman" w:cs="Times New Roman" w:hAnsi="Times New Roman"/>
                <w:sz w:val="24"/>
                <w:szCs w:val="24"/>
              </w:rPr>
              <w:t>Снижение</w:t>
            </w:r>
          </w:p>
        </w:tc>
        <w:tc>
          <w:tcPr>
            <w:cnfStyle w:val="000000100000"/>
            <w:tcW w:w="0" w:type="auto"/>
          </w:tcPr>
          <w:p w14:paraId="0000011A">
            <w:pPr>
              <w:jc w:val="both"/>
              <w:rPr>
                <w:rFonts w:ascii="Times New Roman" w:cs="Times New Roman" w:hAnsi="Times New Roman"/>
                <w:sz w:val="24"/>
                <w:szCs w:val="24"/>
              </w:rPr>
            </w:pPr>
            <w:r>
              <w:rPr>
                <w:rFonts w:ascii="Times New Roman" w:cs="Times New Roman" w:hAnsi="Times New Roman"/>
                <w:sz w:val="24"/>
                <w:szCs w:val="24"/>
              </w:rPr>
              <w:t>Уменьшение вероятности или последствий</w:t>
            </w:r>
          </w:p>
        </w:tc>
        <w:tc>
          <w:tcPr>
            <w:cnfStyle w:val="000000100000"/>
            <w:tcW w:w="3319" w:type="dxa"/>
          </w:tcPr>
          <w:p w14:paraId="0000011B">
            <w:pPr>
              <w:jc w:val="both"/>
              <w:rPr>
                <w:rFonts w:ascii="Times New Roman" w:cs="Times New Roman" w:hAnsi="Times New Roman"/>
                <w:sz w:val="24"/>
                <w:szCs w:val="24"/>
              </w:rPr>
            </w:pPr>
            <w:r>
              <w:rPr>
                <w:rFonts w:ascii="Times New Roman" w:cs="Times New Roman" w:hAnsi="Times New Roman"/>
                <w:sz w:val="24"/>
                <w:szCs w:val="24"/>
              </w:rPr>
              <w:t>Резервирование ресурсов, дополнительный контроль</w:t>
            </w:r>
          </w:p>
        </w:tc>
      </w:tr>
      <w:tr>
        <w:trPr/>
        <w:tc>
          <w:tcPr>
            <w:cnfStyle w:val="001000010000"/>
            <w:tcW w:w="1341" w:type="dxa"/>
          </w:tcPr>
          <w:p w14:paraId="0000011C">
            <w:pPr>
              <w:jc w:val="both"/>
              <w:rPr>
                <w:rFonts w:ascii="Times New Roman" w:cs="Times New Roman" w:hAnsi="Times New Roman"/>
                <w:sz w:val="24"/>
                <w:szCs w:val="24"/>
              </w:rPr>
            </w:pPr>
            <w:r>
              <w:rPr>
                <w:rFonts w:ascii="Times New Roman" w:cs="Times New Roman" w:hAnsi="Times New Roman"/>
                <w:sz w:val="24"/>
                <w:szCs w:val="24"/>
              </w:rPr>
              <w:t>Принятие</w:t>
            </w:r>
          </w:p>
        </w:tc>
        <w:tc>
          <w:tcPr>
            <w:cnfStyle w:val="000000010000"/>
            <w:tcW w:w="0" w:type="auto"/>
          </w:tcPr>
          <w:p w14:paraId="0000011D">
            <w:pPr>
              <w:jc w:val="both"/>
              <w:rPr>
                <w:rFonts w:ascii="Times New Roman" w:cs="Times New Roman" w:hAnsi="Times New Roman"/>
                <w:sz w:val="24"/>
                <w:szCs w:val="24"/>
              </w:rPr>
            </w:pPr>
            <w:r>
              <w:rPr>
                <w:rFonts w:ascii="Times New Roman" w:cs="Times New Roman" w:hAnsi="Times New Roman"/>
                <w:sz w:val="24"/>
                <w:szCs w:val="24"/>
              </w:rPr>
              <w:t>Осознанное согласие с риском</w:t>
            </w:r>
          </w:p>
        </w:tc>
        <w:tc>
          <w:tcPr>
            <w:cnfStyle w:val="000000010000"/>
            <w:tcW w:w="3319" w:type="dxa"/>
          </w:tcPr>
          <w:p w14:paraId="0000011E">
            <w:pPr>
              <w:jc w:val="both"/>
              <w:rPr>
                <w:rFonts w:ascii="Times New Roman" w:cs="Times New Roman" w:hAnsi="Times New Roman"/>
                <w:sz w:val="24"/>
                <w:szCs w:val="24"/>
              </w:rPr>
            </w:pPr>
            <w:r>
              <w:rPr>
                <w:rFonts w:ascii="Times New Roman" w:cs="Times New Roman" w:hAnsi="Times New Roman"/>
                <w:sz w:val="24"/>
                <w:szCs w:val="24"/>
              </w:rPr>
              <w:t>Создание резервного фонда</w:t>
            </w:r>
          </w:p>
        </w:tc>
      </w:tr>
    </w:tbl>
    <w:p w14:paraId="0000011F">
      <w:pPr>
        <w:spacing w:beforeAutospacing="0" w:after="0" w:afterAutospacing="0" w:line="360" w:lineRule="auto"/>
        <w:ind w:firstLine="709"/>
        <w:jc w:val="both"/>
        <w:rPr>
          <w:rFonts w:ascii="Times New Roman" w:cs="Times New Roman" w:hAnsi="Times New Roman"/>
          <w:i/>
          <w:iCs/>
          <w:sz w:val="28"/>
          <w:szCs w:val="28"/>
        </w:rPr>
      </w:pPr>
    </w:p>
    <w:p w14:paraId="0000012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Выбор стратегии реагирования на риски зависит от характера угрозы, возможностей проекта и отношения к риску участников. Для большинства проектов применяется комбинация стратегий: по одним рискам – уклонение или передача, по другим – снижение, по третьим – принятие. Важно, чтобы </w:t>
      </w:r>
      <w:r>
        <w:rPr>
          <w:rFonts w:ascii="Times New Roman" w:cs="Times New Roman" w:hAnsi="Times New Roman"/>
          <w:sz w:val="28"/>
          <w:szCs w:val="28"/>
        </w:rPr>
        <w:t>выбор стратегии был осознанным и документированным. Нереагирование на риски (игнорирование) не является допустимой стратегией.</w:t>
      </w:r>
    </w:p>
    <w:p w14:paraId="0000012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Таким образом, проведённый анализ понятия и сущности проектной деятельности позволяет сделать ряд выводов. Проектная деятельность представляет собой особый вид целенаправленной активности, характеризующийся уникальностью результата, ограниченностью ресурсов и временными рамками. Она принципиально отличается от операционной деятельности, что требует применения специальных методов управления. Управление проектом осуществляется через систему планов, охватывающую сроки, стоимость, качество, риски, коммуникации и поставки. Ключевыми инструментами управления являются диаграмма Ганта, метод критического пути, анализ «освоенного объёма», методы оценки рисков. Успех проекта во многом зависит от эффективного управления стейкхолдерами и выбора адекватных стратегий реагирования на риски. Понимание сущности проектной деятельности является необходимым условием для перехода к рассмотрению современных методических подходов к управлению проектами.</w:t>
      </w:r>
    </w:p>
    <w:p w14:paraId="00000122">
      <w:pPr>
        <w:pStyle w:val="Heading1"/>
        <w:spacing w:before="0" w:beforeAutospacing="0" w:afterAutospacing="0" w:line="360" w:lineRule="auto"/>
        <w:ind w:firstLine="709"/>
        <w:jc w:val="both"/>
        <w:rPr>
          <w:rFonts w:ascii="Times New Roman" w:cs="Times New Roman" w:hAnsi="Times New Roman"/>
          <w:b/>
          <w:bCs/>
          <w:color w:val="auto"/>
          <w:sz w:val="28"/>
          <w:szCs w:val="28"/>
        </w:rPr>
      </w:pPr>
    </w:p>
    <w:p w14:paraId="00000123">
      <w:pPr>
        <w:pStyle w:val="Heading1"/>
        <w:spacing w:before="0" w:beforeAutospacing="0" w:afterAutospacing="0" w:line="360" w:lineRule="auto"/>
        <w:ind w:firstLine="709"/>
        <w:jc w:val="both"/>
        <w:rPr>
          <w:rFonts w:ascii="Times New Roman" w:cs="Times New Roman" w:hAnsi="Times New Roman"/>
          <w:b/>
          <w:bCs/>
          <w:color w:val="auto"/>
          <w:sz w:val="28"/>
          <w:szCs w:val="28"/>
        </w:rPr>
      </w:pPr>
    </w:p>
    <w:p w14:paraId="00000124">
      <w:pPr>
        <w:pStyle w:val="Heading1"/>
        <w:spacing w:before="0" w:beforeAutospacing="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1.2 Современные методические подходы к проектной деятельности в управлении предприятием</w:t>
      </w:r>
    </w:p>
    <w:p w14:paraId="00000125">
      <w:pPr>
        <w:spacing w:beforeAutospacing="0" w:after="0" w:afterAutospacing="0" w:line="360" w:lineRule="auto"/>
        <w:ind w:firstLine="709"/>
        <w:jc w:val="both"/>
        <w:rPr>
          <w:rFonts w:ascii="Times New Roman" w:cs="Times New Roman" w:hAnsi="Times New Roman"/>
          <w:b/>
          <w:bCs/>
          <w:sz w:val="28"/>
          <w:szCs w:val="28"/>
        </w:rPr>
      </w:pPr>
    </w:p>
    <w:p w14:paraId="00000126">
      <w:pPr>
        <w:spacing w:beforeAutospacing="0" w:after="0" w:afterAutospacing="0" w:line="360" w:lineRule="auto"/>
        <w:ind w:firstLine="709"/>
        <w:jc w:val="both"/>
        <w:rPr>
          <w:rFonts w:ascii="Times New Roman" w:cs="Times New Roman" w:hAnsi="Times New Roman"/>
          <w:b/>
          <w:bCs/>
          <w:sz w:val="28"/>
          <w:szCs w:val="28"/>
        </w:rPr>
      </w:pPr>
    </w:p>
    <w:p w14:paraId="00000127">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В современной практике управления проектами сложилось множество методических подходов, различающихся по степени детализации, ориентации на отраслевую специфику, требованиям к документации и характеру взаимоотношений между участниками. Выбор конкретного подхода зависит от масштаба проекта, его сложности, отраслевой принадлежности, требований инвестора или кредитора, а также от корпоративной культуры организации, реализующей проект.</w:t>
      </w:r>
    </w:p>
    <w:p w14:paraId="00000128">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Все существующие методические подходы к управлению проектами можно условно разделить на три большие группы. Первая группа – классические (традиционные) методы, которые основываются на детальном планировании всех работ на начальном этапе и последующем жёстком контроле исполнения. Вторая группа – гибкие (agile) методы, которые предполагают итеративную разработку продукта, активное вовлечение заказчика и готовность к изменениям требований в процессе реализации. Третья группа – методы, ориентированные на управление стоимостью и рисками, которые используются преимущественно в инвестиционных проектах [43, с. 121].</w:t>
      </w:r>
    </w:p>
    <w:p w14:paraId="00000129">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К числу наиболее авторитетных и широко применяемых в международной практике относятся методические разработки международных организаций: UNIDO (Организация Объединённых Наций по промышленному развитию), ЕБРР (Европейский банк реконструкции и развития), а также стандарты управления проектами PMBOK (Project Management Body of Knowledge) и PRINCE2 [</w:t>
      </w:r>
      <w:r>
        <w:rPr>
          <w:rFonts w:ascii="Times New Roman" w:cs="Times New Roman" w:hAnsi="Times New Roman"/>
          <w:bCs/>
          <w:sz w:val="28"/>
          <w:szCs w:val="28"/>
        </w:rPr>
        <w:t>40</w:t>
      </w:r>
      <w:r>
        <w:rPr>
          <w:rFonts w:ascii="Times New Roman" w:cs="Times New Roman" w:hAnsi="Times New Roman"/>
          <w:bCs/>
          <w:sz w:val="28"/>
          <w:szCs w:val="28"/>
        </w:rPr>
        <w:t>].</w:t>
      </w:r>
    </w:p>
    <w:p w14:paraId="0000012A">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Методика UNIDO разработана специально для оценки инвестиционных проектов в промышленности. Она включает детализированную структуру бизнес-плана, методику расчёта показателей эффективности (чистая приведённая стоимость, внутренняя норма доходности, срок окупаемости, индекс доходности), а также рекомендации по анализу чувствительности и оценке рисков. Структура бизнес-плана по методике UNIDO включает следующие разделы: резюме, предпосылки и основная идея проекта, анализ рынка и концепция маркетинга, сырьё и материалы, выбор места размещения, проектно-конструкторская документация, организация производства и накладные расходы, трудовые ресурсы, график осуществления, финансово-экономическая оценка [53, с. 25].</w:t>
      </w:r>
    </w:p>
    <w:p w14:paraId="0000012B">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Достоинством методики UNIDO является её системность и универсальность. Она может применяться для проектов любой отраслевой принадлежности и масштаба. Недостатком является высокая трудоёмкость </w:t>
      </w:r>
      <w:r>
        <w:rPr>
          <w:rFonts w:ascii="Times New Roman" w:cs="Times New Roman" w:hAnsi="Times New Roman"/>
          <w:bCs/>
          <w:sz w:val="28"/>
          <w:szCs w:val="28"/>
        </w:rPr>
        <w:t>подготовки бизнес-плана в соответствии с её требованиями, что не всегда оправдано для малых и средних проектов. Кроме того, методика UNIDO недостаточно учитывает национальную специфику налогообложения и правового регулирования [23, с. 69].</w:t>
      </w:r>
    </w:p>
    <w:p w14:paraId="0000012C">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Методика ЕБРР (Европейского банка реконструкции и развития) ориентирована на оценку кредитоспособности заёмщика. Её ключевая особенность – детализированный прогноз движения денежных средств (Cash Flow) и расчёт коэффициентов покрытия долга (DSCR – Debt Service Coverage Ratio). Эта методика обязательна к применению при привлечении кредитных ресурсов в рамках проектного финансирования. В бизнес-плане, подготовленном по стандартам ЕБРР, особое внимание уделяется анализу чувствительности проекта к изменению процентных ставок, валютных курсов и цен на сырьё [23, с. 79].</w:t>
      </w:r>
    </w:p>
    <w:p w14:paraId="0000012D">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Методика TACIS (программа технической помощи Европейского Союза странам СНГ) была разработана специально для проектов, реализуемых на постсоветском пространстве. Она учитывает особенности российской налоговой системы, правовой среды, бухгалтерского учёта. В ней больше внимания уделяется анализу регионального рынка, конкурентной среды и кадрового потенциала. Хотя программа TACIS официально завершена, созданные в её рамках методические рекомендации продолжают использоваться российскими консалтинговыми компаниями и фондами поддержки малого предпринимательства [53, с. 17].</w:t>
      </w:r>
    </w:p>
    <w:p w14:paraId="0000012E">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Стандарт PMBOK (Project Management Body of Knowledge) разработан Институтом управления проектами (PMI) и представляет собой свод знаний об управлении проектами. В последней, седьмой редакции PMBOK выделяет 12 принципов управления проектами и 8 областей производительности (вместо 10 областей знаний в предыдущих редакциях). Ключевые области включают управление заинтересованными сторонами, управление командой, управление жизненным циклом проекта, планирование, управление работами, управление доставкой продукции, управление неопределённостью </w:t>
      </w:r>
      <w:r>
        <w:rPr>
          <w:rFonts w:ascii="Times New Roman" w:cs="Times New Roman" w:hAnsi="Times New Roman"/>
          <w:bCs/>
          <w:sz w:val="28"/>
          <w:szCs w:val="28"/>
        </w:rPr>
        <w:t>и управление ценностью [20, с. 30]. Стандарт PMBOK не предписывает жёсткую структуру бизнес-плана, а описывает процессы и методы, которые могут быть адаптированы под конкретный проект с учётом целей, ограничений, рисков, организационного контекста и ожиданий заказчика при выборе модели управления проектом [</w:t>
      </w:r>
      <w:r>
        <w:rPr>
          <w:rFonts w:ascii="Times New Roman" w:cs="Times New Roman" w:hAnsi="Times New Roman"/>
          <w:bCs/>
          <w:sz w:val="28"/>
          <w:szCs w:val="28"/>
        </w:rPr>
        <w:t>40</w:t>
      </w:r>
      <w:r>
        <w:rPr>
          <w:rFonts w:ascii="Times New Roman" w:cs="Times New Roman" w:hAnsi="Times New Roman"/>
          <w:bCs/>
          <w:sz w:val="28"/>
          <w:szCs w:val="28"/>
        </w:rPr>
        <w:t>].</w:t>
      </w:r>
    </w:p>
    <w:p w14:paraId="0000012F">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В таблице 1.5 представлено сравнение основных методик разработки бизнес-планов.</w:t>
      </w:r>
    </w:p>
    <w:p w14:paraId="00000130">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Таблица 1.5 – Сравнение основных методик разработки бизнес-плана</w:t>
      </w:r>
    </w:p>
    <w:tbl>
      <w:tblPr>
        <w:tblStyle w:val="TableGrid"/>
        <w:tblW w:w="0" w:type="auto"/>
        <w:tblLook w:val="04A0"/>
      </w:tblPr>
      <w:tblGrid>
        <w:gridCol w:w="2190"/>
        <w:gridCol w:w="1825"/>
        <w:gridCol w:w="2351"/>
        <w:gridCol w:w="1807"/>
        <w:gridCol w:w="1398"/>
      </w:tblGrid>
      <w:tr>
        <w:trPr>
          <w:cnfStyle w:val="100000000000"/>
        </w:trPr>
        <w:tc>
          <w:tcPr>
            <w:cnfStyle w:val="101000000000"/>
            <w:tcW w:w="0" w:type="auto"/>
          </w:tcPr>
          <w:p w14:paraId="00000131">
            <w:pPr>
              <w:jc w:val="center"/>
              <w:rPr>
                <w:rFonts w:ascii="Times New Roman" w:cs="Times New Roman" w:hAnsi="Times New Roman"/>
                <w:bCs/>
                <w:sz w:val="24"/>
                <w:szCs w:val="24"/>
              </w:rPr>
            </w:pPr>
            <w:r>
              <w:rPr>
                <w:rFonts w:ascii="Times New Roman" w:cs="Times New Roman" w:hAnsi="Times New Roman"/>
                <w:bCs/>
                <w:sz w:val="24"/>
                <w:szCs w:val="24"/>
              </w:rPr>
              <w:t>Критерий</w:t>
            </w:r>
          </w:p>
        </w:tc>
        <w:tc>
          <w:tcPr>
            <w:cnfStyle w:val="100000000000"/>
            <w:tcW w:w="0" w:type="auto"/>
          </w:tcPr>
          <w:p w14:paraId="00000132">
            <w:pPr>
              <w:jc w:val="center"/>
              <w:rPr>
                <w:rFonts w:ascii="Times New Roman" w:cs="Times New Roman" w:hAnsi="Times New Roman"/>
                <w:bCs/>
                <w:sz w:val="24"/>
                <w:szCs w:val="24"/>
              </w:rPr>
            </w:pPr>
            <w:r>
              <w:rPr>
                <w:rFonts w:ascii="Times New Roman" w:cs="Times New Roman" w:hAnsi="Times New Roman"/>
                <w:bCs/>
                <w:sz w:val="24"/>
                <w:szCs w:val="24"/>
              </w:rPr>
              <w:t>UNIDO</w:t>
            </w:r>
          </w:p>
        </w:tc>
        <w:tc>
          <w:tcPr>
            <w:cnfStyle w:val="100000000000"/>
            <w:tcW w:w="0" w:type="auto"/>
          </w:tcPr>
          <w:p w14:paraId="00000133">
            <w:pPr>
              <w:jc w:val="center"/>
              <w:rPr>
                <w:rFonts w:ascii="Times New Roman" w:cs="Times New Roman" w:hAnsi="Times New Roman"/>
                <w:bCs/>
                <w:sz w:val="24"/>
                <w:szCs w:val="24"/>
              </w:rPr>
            </w:pPr>
            <w:r>
              <w:rPr>
                <w:rFonts w:ascii="Times New Roman" w:cs="Times New Roman" w:hAnsi="Times New Roman"/>
                <w:bCs/>
                <w:sz w:val="24"/>
                <w:szCs w:val="24"/>
              </w:rPr>
              <w:t>ЕБРР</w:t>
            </w:r>
          </w:p>
        </w:tc>
        <w:tc>
          <w:tcPr>
            <w:cnfStyle w:val="100000000000"/>
            <w:tcW w:w="0" w:type="auto"/>
          </w:tcPr>
          <w:p w14:paraId="00000134">
            <w:pPr>
              <w:jc w:val="center"/>
              <w:rPr>
                <w:rFonts w:ascii="Times New Roman" w:cs="Times New Roman" w:hAnsi="Times New Roman"/>
                <w:bCs/>
                <w:sz w:val="24"/>
                <w:szCs w:val="24"/>
              </w:rPr>
            </w:pPr>
            <w:r>
              <w:rPr>
                <w:rFonts w:ascii="Times New Roman" w:cs="Times New Roman" w:hAnsi="Times New Roman"/>
                <w:bCs/>
                <w:sz w:val="24"/>
                <w:szCs w:val="24"/>
              </w:rPr>
              <w:t>TACIS</w:t>
            </w:r>
          </w:p>
        </w:tc>
        <w:tc>
          <w:tcPr>
            <w:cnfStyle w:val="100000000000"/>
            <w:tcW w:w="0" w:type="auto"/>
          </w:tcPr>
          <w:p w14:paraId="00000135">
            <w:pPr>
              <w:jc w:val="center"/>
              <w:rPr>
                <w:rFonts w:ascii="Times New Roman" w:cs="Times New Roman" w:hAnsi="Times New Roman"/>
                <w:bCs/>
                <w:sz w:val="24"/>
                <w:szCs w:val="24"/>
              </w:rPr>
            </w:pPr>
            <w:r>
              <w:rPr>
                <w:rFonts w:ascii="Times New Roman" w:cs="Times New Roman" w:hAnsi="Times New Roman"/>
                <w:bCs/>
                <w:sz w:val="24"/>
                <w:szCs w:val="24"/>
              </w:rPr>
              <w:t>PMBOK</w:t>
            </w:r>
          </w:p>
        </w:tc>
      </w:tr>
      <w:tr>
        <w:trPr>
          <w:cnfStyle w:val="000000100000"/>
        </w:trPr>
        <w:tc>
          <w:tcPr>
            <w:cnfStyle w:val="001000100000"/>
            <w:tcW w:w="0" w:type="auto"/>
          </w:tcPr>
          <w:p w14:paraId="00000136">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100000"/>
            <w:tcW w:w="0" w:type="auto"/>
          </w:tcPr>
          <w:p w14:paraId="00000137">
            <w:pPr>
              <w:jc w:val="center"/>
              <w:rPr>
                <w:rFonts w:ascii="Times New Roman" w:cs="Times New Roman" w:hAnsi="Times New Roman"/>
                <w:bCs/>
                <w:sz w:val="24"/>
                <w:szCs w:val="24"/>
              </w:rPr>
            </w:pPr>
            <w:r>
              <w:rPr>
                <w:rFonts w:ascii="Times New Roman" w:cs="Times New Roman" w:hAnsi="Times New Roman"/>
                <w:bCs/>
                <w:sz w:val="24"/>
                <w:szCs w:val="24"/>
              </w:rPr>
              <w:t>2</w:t>
            </w:r>
          </w:p>
        </w:tc>
        <w:tc>
          <w:tcPr>
            <w:cnfStyle w:val="000000100000"/>
            <w:tcW w:w="0" w:type="auto"/>
          </w:tcPr>
          <w:p w14:paraId="00000138">
            <w:pPr>
              <w:jc w:val="center"/>
              <w:rPr>
                <w:rFonts w:ascii="Times New Roman" w:cs="Times New Roman" w:hAnsi="Times New Roman"/>
                <w:bCs/>
                <w:sz w:val="24"/>
                <w:szCs w:val="24"/>
              </w:rPr>
            </w:pPr>
            <w:r>
              <w:rPr>
                <w:rFonts w:ascii="Times New Roman" w:cs="Times New Roman" w:hAnsi="Times New Roman"/>
                <w:bCs/>
                <w:sz w:val="24"/>
                <w:szCs w:val="24"/>
              </w:rPr>
              <w:t>3</w:t>
            </w:r>
          </w:p>
        </w:tc>
        <w:tc>
          <w:tcPr>
            <w:cnfStyle w:val="000000100000"/>
            <w:tcW w:w="0" w:type="auto"/>
          </w:tcPr>
          <w:p w14:paraId="00000139">
            <w:pPr>
              <w:jc w:val="center"/>
              <w:rPr>
                <w:rFonts w:ascii="Times New Roman" w:cs="Times New Roman" w:hAnsi="Times New Roman"/>
                <w:bCs/>
                <w:sz w:val="24"/>
                <w:szCs w:val="24"/>
              </w:rPr>
            </w:pPr>
            <w:r>
              <w:rPr>
                <w:rFonts w:ascii="Times New Roman" w:cs="Times New Roman" w:hAnsi="Times New Roman"/>
                <w:bCs/>
                <w:sz w:val="24"/>
                <w:szCs w:val="24"/>
              </w:rPr>
              <w:t>4</w:t>
            </w:r>
          </w:p>
        </w:tc>
        <w:tc>
          <w:tcPr>
            <w:cnfStyle w:val="000000100000"/>
            <w:tcW w:w="0" w:type="auto"/>
          </w:tcPr>
          <w:p w14:paraId="0000013A">
            <w:pPr>
              <w:jc w:val="center"/>
              <w:rPr>
                <w:rFonts w:ascii="Times New Roman" w:cs="Times New Roman" w:hAnsi="Times New Roman"/>
                <w:bCs/>
                <w:sz w:val="24"/>
                <w:szCs w:val="24"/>
              </w:rPr>
            </w:pPr>
            <w:r>
              <w:rPr>
                <w:rFonts w:ascii="Times New Roman" w:cs="Times New Roman" w:hAnsi="Times New Roman"/>
                <w:bCs/>
                <w:sz w:val="24"/>
                <w:szCs w:val="24"/>
              </w:rPr>
              <w:t>5</w:t>
            </w:r>
          </w:p>
        </w:tc>
      </w:tr>
      <w:tr>
        <w:trPr>
          <w:cnfStyle w:val="000000010000"/>
        </w:trPr>
        <w:tc>
          <w:tcPr>
            <w:cnfStyle w:val="001000010000"/>
            <w:tcW w:w="0" w:type="auto"/>
          </w:tcPr>
          <w:p w14:paraId="0000013B">
            <w:pPr>
              <w:jc w:val="both"/>
              <w:rPr>
                <w:rFonts w:ascii="Times New Roman" w:cs="Times New Roman" w:hAnsi="Times New Roman"/>
                <w:bCs/>
                <w:sz w:val="24"/>
                <w:szCs w:val="24"/>
              </w:rPr>
            </w:pPr>
            <w:r>
              <w:rPr>
                <w:rFonts w:ascii="Times New Roman" w:cs="Times New Roman" w:hAnsi="Times New Roman"/>
                <w:bCs/>
                <w:sz w:val="24"/>
                <w:szCs w:val="24"/>
              </w:rPr>
              <w:t>Основной фокус</w:t>
            </w:r>
          </w:p>
        </w:tc>
        <w:tc>
          <w:tcPr>
            <w:cnfStyle w:val="000000010000"/>
            <w:tcW w:w="0" w:type="auto"/>
          </w:tcPr>
          <w:p w14:paraId="0000013C">
            <w:pPr>
              <w:jc w:val="both"/>
              <w:rPr>
                <w:rFonts w:ascii="Times New Roman" w:cs="Times New Roman" w:hAnsi="Times New Roman"/>
                <w:bCs/>
                <w:sz w:val="24"/>
                <w:szCs w:val="24"/>
              </w:rPr>
            </w:pPr>
            <w:r>
              <w:rPr>
                <w:rFonts w:ascii="Times New Roman" w:cs="Times New Roman" w:hAnsi="Times New Roman"/>
                <w:bCs/>
                <w:sz w:val="24"/>
                <w:szCs w:val="24"/>
              </w:rPr>
              <w:t>Эффективность инвестиций</w:t>
            </w:r>
          </w:p>
        </w:tc>
        <w:tc>
          <w:tcPr>
            <w:cnfStyle w:val="000000010000"/>
            <w:tcW w:w="0" w:type="auto"/>
          </w:tcPr>
          <w:p w14:paraId="0000013D">
            <w:pPr>
              <w:jc w:val="both"/>
              <w:rPr>
                <w:rFonts w:ascii="Times New Roman" w:cs="Times New Roman" w:hAnsi="Times New Roman"/>
                <w:bCs/>
                <w:sz w:val="24"/>
                <w:szCs w:val="24"/>
              </w:rPr>
            </w:pPr>
            <w:r>
              <w:rPr>
                <w:rFonts w:ascii="Times New Roman" w:cs="Times New Roman" w:hAnsi="Times New Roman"/>
                <w:bCs/>
                <w:sz w:val="24"/>
                <w:szCs w:val="24"/>
              </w:rPr>
              <w:t>Кредитоспособность</w:t>
            </w:r>
          </w:p>
        </w:tc>
        <w:tc>
          <w:tcPr>
            <w:cnfStyle w:val="000000010000"/>
            <w:tcW w:w="0" w:type="auto"/>
          </w:tcPr>
          <w:p w14:paraId="0000013E">
            <w:pPr>
              <w:jc w:val="both"/>
              <w:rPr>
                <w:rFonts w:ascii="Times New Roman" w:cs="Times New Roman" w:hAnsi="Times New Roman"/>
                <w:bCs/>
                <w:sz w:val="24"/>
                <w:szCs w:val="24"/>
              </w:rPr>
            </w:pPr>
            <w:r>
              <w:rPr>
                <w:rFonts w:ascii="Times New Roman" w:cs="Times New Roman" w:hAnsi="Times New Roman"/>
                <w:bCs/>
                <w:sz w:val="24"/>
                <w:szCs w:val="24"/>
              </w:rPr>
              <w:t>Адаптация к местным условиям</w:t>
            </w:r>
          </w:p>
        </w:tc>
        <w:tc>
          <w:tcPr>
            <w:cnfStyle w:val="000000010000"/>
            <w:tcW w:w="0" w:type="auto"/>
          </w:tcPr>
          <w:p w14:paraId="0000013F">
            <w:pPr>
              <w:jc w:val="both"/>
              <w:rPr>
                <w:rFonts w:ascii="Times New Roman" w:cs="Times New Roman" w:hAnsi="Times New Roman"/>
                <w:bCs/>
                <w:sz w:val="24"/>
                <w:szCs w:val="24"/>
              </w:rPr>
            </w:pPr>
            <w:r>
              <w:rPr>
                <w:rFonts w:ascii="Times New Roman" w:cs="Times New Roman" w:hAnsi="Times New Roman"/>
                <w:bCs/>
                <w:sz w:val="24"/>
                <w:szCs w:val="24"/>
              </w:rPr>
              <w:t>Процессы управления</w:t>
            </w:r>
          </w:p>
        </w:tc>
      </w:tr>
      <w:tr>
        <w:trPr>
          <w:cnfStyle w:val="000000100000"/>
        </w:trPr>
        <w:tc>
          <w:tcPr>
            <w:cnfStyle w:val="001000100000"/>
            <w:tcW w:w="0" w:type="auto"/>
          </w:tcPr>
          <w:p w14:paraId="00000140">
            <w:pPr>
              <w:jc w:val="both"/>
              <w:rPr>
                <w:rFonts w:ascii="Times New Roman" w:cs="Times New Roman" w:hAnsi="Times New Roman"/>
                <w:bCs/>
                <w:sz w:val="24"/>
                <w:szCs w:val="24"/>
              </w:rPr>
            </w:pPr>
            <w:r>
              <w:rPr>
                <w:rFonts w:ascii="Times New Roman" w:cs="Times New Roman" w:hAnsi="Times New Roman"/>
                <w:bCs/>
                <w:sz w:val="24"/>
                <w:szCs w:val="24"/>
              </w:rPr>
              <w:t>Детализация производственного плана</w:t>
            </w:r>
          </w:p>
        </w:tc>
        <w:tc>
          <w:tcPr>
            <w:cnfStyle w:val="000000100000"/>
            <w:tcW w:w="0" w:type="auto"/>
          </w:tcPr>
          <w:p w14:paraId="00000141">
            <w:pPr>
              <w:jc w:val="both"/>
              <w:rPr>
                <w:rFonts w:ascii="Times New Roman" w:cs="Times New Roman" w:hAnsi="Times New Roman"/>
                <w:bCs/>
                <w:sz w:val="24"/>
                <w:szCs w:val="24"/>
              </w:rPr>
            </w:pPr>
            <w:r>
              <w:rPr>
                <w:rFonts w:ascii="Times New Roman" w:cs="Times New Roman" w:hAnsi="Times New Roman"/>
                <w:bCs/>
                <w:sz w:val="24"/>
                <w:szCs w:val="24"/>
              </w:rPr>
              <w:t>Высокая</w:t>
            </w:r>
          </w:p>
        </w:tc>
        <w:tc>
          <w:tcPr>
            <w:cnfStyle w:val="000000100000"/>
            <w:tcW w:w="0" w:type="auto"/>
          </w:tcPr>
          <w:p w14:paraId="00000142">
            <w:pPr>
              <w:jc w:val="both"/>
              <w:rPr>
                <w:rFonts w:ascii="Times New Roman" w:cs="Times New Roman" w:hAnsi="Times New Roman"/>
                <w:bCs/>
                <w:sz w:val="24"/>
                <w:szCs w:val="24"/>
              </w:rPr>
            </w:pPr>
            <w:r>
              <w:rPr>
                <w:rFonts w:ascii="Times New Roman" w:cs="Times New Roman" w:hAnsi="Times New Roman"/>
                <w:bCs/>
                <w:sz w:val="24"/>
                <w:szCs w:val="24"/>
              </w:rPr>
              <w:t>Низкая</w:t>
            </w:r>
          </w:p>
        </w:tc>
        <w:tc>
          <w:tcPr>
            <w:cnfStyle w:val="000000100000"/>
            <w:tcW w:w="0" w:type="auto"/>
          </w:tcPr>
          <w:p w14:paraId="00000143">
            <w:pPr>
              <w:jc w:val="both"/>
              <w:rPr>
                <w:rFonts w:ascii="Times New Roman" w:cs="Times New Roman" w:hAnsi="Times New Roman"/>
                <w:bCs/>
                <w:sz w:val="24"/>
                <w:szCs w:val="24"/>
              </w:rPr>
            </w:pPr>
            <w:r>
              <w:rPr>
                <w:rFonts w:ascii="Times New Roman" w:cs="Times New Roman" w:hAnsi="Times New Roman"/>
                <w:bCs/>
                <w:sz w:val="24"/>
                <w:szCs w:val="24"/>
              </w:rPr>
              <w:t>Средняя</w:t>
            </w:r>
          </w:p>
        </w:tc>
        <w:tc>
          <w:tcPr>
            <w:cnfStyle w:val="000000100000"/>
            <w:tcW w:w="0" w:type="auto"/>
          </w:tcPr>
          <w:p w14:paraId="00000144">
            <w:pPr>
              <w:jc w:val="both"/>
              <w:rPr>
                <w:rFonts w:ascii="Times New Roman" w:cs="Times New Roman" w:hAnsi="Times New Roman"/>
                <w:bCs/>
                <w:sz w:val="24"/>
                <w:szCs w:val="24"/>
              </w:rPr>
            </w:pPr>
            <w:r>
              <w:rPr>
                <w:rFonts w:ascii="Times New Roman" w:cs="Times New Roman" w:hAnsi="Times New Roman"/>
                <w:bCs/>
                <w:sz w:val="24"/>
                <w:szCs w:val="24"/>
              </w:rPr>
              <w:t>Средняя</w:t>
            </w:r>
          </w:p>
        </w:tc>
      </w:tr>
    </w:tbl>
    <w:p w14:paraId="00000145">
      <w:pPr>
        <w:spacing w:beforeAutospacing="0" w:after="0" w:afterAutospacing="0" w:line="360" w:lineRule="auto"/>
        <w:ind w:firstLine="709"/>
        <w:jc w:val="right"/>
        <w:rPr>
          <w:rFonts w:ascii="Times New Roman" w:cs="Times New Roman" w:hAnsi="Times New Roman"/>
          <w:b w:val="off"/>
          <w:bCs w:val="off"/>
          <w:i w:val="off"/>
          <w:iCs w:val="off"/>
          <w:sz w:val="28"/>
          <w:szCs w:val="28"/>
        </w:rPr>
      </w:pPr>
      <w:r>
        <w:rPr>
          <w:rFonts w:ascii="Times New Roman" w:cs="Times New Roman" w:hAnsi="Times New Roman"/>
          <w:b w:val="off"/>
          <w:bCs w:val="off"/>
          <w:i w:val="off"/>
          <w:iCs w:val="off"/>
          <w:sz w:val="28"/>
          <w:szCs w:val="28"/>
        </w:rPr>
        <w:t>Продолжение таблицы 1.5</w:t>
      </w:r>
    </w:p>
    <w:tbl>
      <w:tblPr>
        <w:tblStyle w:val="TableGrid"/>
        <w:tblW w:w="0" w:type="auto"/>
        <w:tblLook w:val="04A0"/>
      </w:tblPr>
      <w:tblGrid>
        <w:gridCol w:w="3426"/>
        <w:gridCol w:w="1443"/>
        <w:gridCol w:w="1379"/>
        <w:gridCol w:w="2249"/>
        <w:gridCol w:w="1074"/>
      </w:tblGrid>
      <w:tr>
        <w:trPr>
          <w:cnfStyle w:val="000000100000"/>
        </w:trPr>
        <w:tc>
          <w:tcPr>
            <w:cnfStyle w:val="101000000000"/>
            <w:tcW w:w="3426" w:type="dxa"/>
          </w:tcPr>
          <w:p w14:paraId="00000146">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100000000000"/>
            <w:tcW w:w="1443" w:type="dxa"/>
          </w:tcPr>
          <w:p w14:paraId="00000147">
            <w:pPr>
              <w:jc w:val="center"/>
              <w:rPr>
                <w:rFonts w:ascii="Times New Roman" w:cs="Times New Roman" w:hAnsi="Times New Roman"/>
                <w:bCs/>
                <w:sz w:val="24"/>
                <w:szCs w:val="24"/>
              </w:rPr>
            </w:pPr>
            <w:r>
              <w:rPr>
                <w:rFonts w:ascii="Times New Roman" w:cs="Times New Roman" w:hAnsi="Times New Roman"/>
                <w:bCs/>
                <w:sz w:val="24"/>
                <w:szCs w:val="24"/>
              </w:rPr>
              <w:t>2</w:t>
            </w:r>
          </w:p>
        </w:tc>
        <w:tc>
          <w:tcPr>
            <w:cnfStyle w:val="100000000000"/>
            <w:tcW w:w="1379" w:type="dxa"/>
          </w:tcPr>
          <w:p w14:paraId="00000148">
            <w:pPr>
              <w:jc w:val="center"/>
              <w:rPr>
                <w:rFonts w:ascii="Times New Roman" w:cs="Times New Roman" w:hAnsi="Times New Roman"/>
                <w:bCs/>
                <w:sz w:val="24"/>
                <w:szCs w:val="24"/>
              </w:rPr>
            </w:pPr>
            <w:r>
              <w:rPr>
                <w:rFonts w:ascii="Times New Roman" w:cs="Times New Roman" w:hAnsi="Times New Roman"/>
                <w:bCs/>
                <w:sz w:val="24"/>
                <w:szCs w:val="24"/>
              </w:rPr>
              <w:t>3</w:t>
            </w:r>
          </w:p>
        </w:tc>
        <w:tc>
          <w:tcPr>
            <w:cnfStyle w:val="100000000000"/>
            <w:tcW w:w="2249" w:type="dxa"/>
          </w:tcPr>
          <w:p w14:paraId="00000149">
            <w:pPr>
              <w:jc w:val="center"/>
              <w:rPr>
                <w:rFonts w:ascii="Times New Roman" w:cs="Times New Roman" w:hAnsi="Times New Roman"/>
                <w:bCs/>
                <w:sz w:val="24"/>
                <w:szCs w:val="24"/>
              </w:rPr>
            </w:pPr>
            <w:r>
              <w:rPr>
                <w:rFonts w:ascii="Times New Roman" w:cs="Times New Roman" w:hAnsi="Times New Roman"/>
                <w:bCs/>
                <w:sz w:val="24"/>
                <w:szCs w:val="24"/>
              </w:rPr>
              <w:t>4</w:t>
            </w:r>
          </w:p>
        </w:tc>
        <w:tc>
          <w:tcPr>
            <w:cnfStyle w:val="100000000000"/>
            <w:tcW w:w="1074" w:type="dxa"/>
          </w:tcPr>
          <w:p w14:paraId="0000014A">
            <w:pPr>
              <w:jc w:val="center"/>
              <w:rPr>
                <w:rFonts w:ascii="Times New Roman" w:cs="Times New Roman" w:hAnsi="Times New Roman"/>
                <w:bCs/>
                <w:sz w:val="24"/>
                <w:szCs w:val="24"/>
              </w:rPr>
            </w:pPr>
            <w:r>
              <w:rPr>
                <w:rFonts w:ascii="Times New Roman" w:cs="Times New Roman" w:hAnsi="Times New Roman"/>
                <w:bCs/>
                <w:sz w:val="24"/>
                <w:szCs w:val="24"/>
              </w:rPr>
              <w:t>5</w:t>
            </w:r>
          </w:p>
        </w:tc>
      </w:tr>
      <w:tr>
        <w:trPr>
          <w:cnfStyle w:val="000000010000"/>
          <w:trHeight w:val="613"/>
        </w:trPr>
        <w:tc>
          <w:tcPr>
            <w:cnfStyle w:val="001000100000"/>
            <w:tcW w:w="3426" w:type="dxa"/>
          </w:tcPr>
          <w:p w14:paraId="0000014B">
            <w:pPr>
              <w:jc w:val="both"/>
              <w:rPr>
                <w:rFonts w:ascii="Times New Roman" w:cs="Times New Roman" w:hAnsi="Times New Roman"/>
                <w:bCs/>
                <w:sz w:val="24"/>
                <w:szCs w:val="24"/>
              </w:rPr>
            </w:pPr>
            <w:r>
              <w:rPr>
                <w:rFonts w:ascii="Times New Roman" w:cs="Times New Roman" w:hAnsi="Times New Roman"/>
                <w:bCs/>
                <w:sz w:val="24"/>
                <w:szCs w:val="24"/>
              </w:rPr>
              <w:t>Учёт национальной специфики</w:t>
            </w:r>
          </w:p>
        </w:tc>
        <w:tc>
          <w:tcPr>
            <w:cnfStyle w:val="000000100000"/>
            <w:tcW w:w="1443" w:type="dxa"/>
          </w:tcPr>
          <w:p w14:paraId="0000014C">
            <w:pPr>
              <w:jc w:val="both"/>
              <w:rPr>
                <w:rFonts w:ascii="Times New Roman" w:cs="Times New Roman" w:hAnsi="Times New Roman"/>
                <w:bCs/>
                <w:sz w:val="24"/>
                <w:szCs w:val="24"/>
              </w:rPr>
            </w:pPr>
            <w:r>
              <w:rPr>
                <w:rFonts w:ascii="Times New Roman" w:cs="Times New Roman" w:hAnsi="Times New Roman"/>
                <w:bCs/>
                <w:sz w:val="24"/>
                <w:szCs w:val="24"/>
              </w:rPr>
              <w:t>Частичный</w:t>
            </w:r>
          </w:p>
        </w:tc>
        <w:tc>
          <w:tcPr>
            <w:cnfStyle w:val="000000100000"/>
            <w:tcW w:w="1379" w:type="dxa"/>
          </w:tcPr>
          <w:p w14:paraId="0000014D">
            <w:pPr>
              <w:jc w:val="both"/>
              <w:rPr>
                <w:rFonts w:ascii="Times New Roman" w:cs="Times New Roman" w:hAnsi="Times New Roman"/>
                <w:bCs/>
                <w:sz w:val="24"/>
                <w:szCs w:val="24"/>
              </w:rPr>
            </w:pPr>
            <w:r>
              <w:rPr>
                <w:rFonts w:ascii="Times New Roman" w:cs="Times New Roman" w:hAnsi="Times New Roman"/>
                <w:bCs/>
                <w:sz w:val="24"/>
                <w:szCs w:val="24"/>
              </w:rPr>
              <w:t>Частичный</w:t>
            </w:r>
          </w:p>
        </w:tc>
        <w:tc>
          <w:tcPr>
            <w:cnfStyle w:val="000000100000"/>
            <w:tcW w:w="2249" w:type="dxa"/>
          </w:tcPr>
          <w:p w14:paraId="0000014E">
            <w:pPr>
              <w:jc w:val="both"/>
              <w:rPr>
                <w:rFonts w:ascii="Times New Roman" w:cs="Times New Roman" w:hAnsi="Times New Roman"/>
                <w:bCs/>
                <w:sz w:val="24"/>
                <w:szCs w:val="24"/>
              </w:rPr>
            </w:pPr>
            <w:r>
              <w:rPr>
                <w:rFonts w:ascii="Times New Roman" w:cs="Times New Roman" w:hAnsi="Times New Roman"/>
                <w:bCs/>
                <w:sz w:val="24"/>
                <w:szCs w:val="24"/>
              </w:rPr>
              <w:t>Да</w:t>
            </w:r>
          </w:p>
        </w:tc>
        <w:tc>
          <w:tcPr>
            <w:cnfStyle w:val="000000100000"/>
            <w:tcW w:w="1074" w:type="dxa"/>
          </w:tcPr>
          <w:p w14:paraId="0000014F">
            <w:pPr>
              <w:jc w:val="both"/>
              <w:rPr>
                <w:rFonts w:ascii="Times New Roman" w:cs="Times New Roman" w:hAnsi="Times New Roman"/>
                <w:bCs/>
                <w:sz w:val="24"/>
                <w:szCs w:val="24"/>
              </w:rPr>
            </w:pPr>
            <w:r>
              <w:rPr>
                <w:rFonts w:ascii="Times New Roman" w:cs="Times New Roman" w:hAnsi="Times New Roman"/>
                <w:bCs/>
                <w:sz w:val="24"/>
                <w:szCs w:val="24"/>
              </w:rPr>
              <w:t>Нет</w:t>
            </w:r>
          </w:p>
        </w:tc>
      </w:tr>
      <w:tr>
        <w:trPr>
          <w:cnfStyle w:val="000000100000"/>
        </w:trPr>
        <w:tc>
          <w:tcPr>
            <w:cnfStyle w:val="001000010000"/>
            <w:tcW w:w="3426" w:type="dxa"/>
          </w:tcPr>
          <w:p w14:paraId="00000150">
            <w:pPr>
              <w:jc w:val="both"/>
              <w:rPr>
                <w:rFonts w:ascii="Times New Roman" w:cs="Times New Roman" w:hAnsi="Times New Roman"/>
                <w:bCs/>
                <w:sz w:val="24"/>
                <w:szCs w:val="24"/>
              </w:rPr>
            </w:pPr>
            <w:r>
              <w:rPr>
                <w:rFonts w:ascii="Times New Roman" w:cs="Times New Roman" w:hAnsi="Times New Roman"/>
                <w:bCs/>
                <w:sz w:val="24"/>
                <w:szCs w:val="24"/>
              </w:rPr>
              <w:t>Расчёт DSCR</w:t>
            </w:r>
          </w:p>
        </w:tc>
        <w:tc>
          <w:tcPr>
            <w:cnfStyle w:val="000000010000"/>
            <w:tcW w:w="1443" w:type="dxa"/>
          </w:tcPr>
          <w:p w14:paraId="00000151">
            <w:pPr>
              <w:jc w:val="both"/>
              <w:rPr>
                <w:rFonts w:ascii="Times New Roman" w:cs="Times New Roman" w:hAnsi="Times New Roman"/>
                <w:bCs/>
                <w:sz w:val="24"/>
                <w:szCs w:val="24"/>
              </w:rPr>
            </w:pPr>
            <w:r>
              <w:rPr>
                <w:rFonts w:ascii="Times New Roman" w:cs="Times New Roman" w:hAnsi="Times New Roman"/>
                <w:bCs/>
                <w:sz w:val="24"/>
                <w:szCs w:val="24"/>
              </w:rPr>
              <w:t>Нет</w:t>
            </w:r>
          </w:p>
        </w:tc>
        <w:tc>
          <w:tcPr>
            <w:cnfStyle w:val="000000010000"/>
            <w:tcW w:w="1379" w:type="dxa"/>
          </w:tcPr>
          <w:p w14:paraId="00000152">
            <w:pPr>
              <w:jc w:val="both"/>
              <w:rPr>
                <w:rFonts w:ascii="Times New Roman" w:cs="Times New Roman" w:hAnsi="Times New Roman"/>
                <w:bCs/>
                <w:sz w:val="24"/>
                <w:szCs w:val="24"/>
              </w:rPr>
            </w:pPr>
            <w:r>
              <w:rPr>
                <w:rFonts w:ascii="Times New Roman" w:cs="Times New Roman" w:hAnsi="Times New Roman"/>
                <w:bCs/>
                <w:sz w:val="24"/>
                <w:szCs w:val="24"/>
              </w:rPr>
              <w:t>Да</w:t>
            </w:r>
          </w:p>
        </w:tc>
        <w:tc>
          <w:tcPr>
            <w:cnfStyle w:val="000000010000"/>
            <w:tcW w:w="2249" w:type="dxa"/>
          </w:tcPr>
          <w:p w14:paraId="00000153">
            <w:pPr>
              <w:jc w:val="both"/>
              <w:rPr>
                <w:rFonts w:ascii="Times New Roman" w:cs="Times New Roman" w:hAnsi="Times New Roman"/>
                <w:bCs/>
                <w:sz w:val="24"/>
                <w:szCs w:val="24"/>
              </w:rPr>
            </w:pPr>
            <w:r>
              <w:rPr>
                <w:rFonts w:ascii="Times New Roman" w:cs="Times New Roman" w:hAnsi="Times New Roman"/>
                <w:bCs/>
                <w:sz w:val="24"/>
                <w:szCs w:val="24"/>
              </w:rPr>
              <w:t>Нет</w:t>
            </w:r>
          </w:p>
        </w:tc>
        <w:tc>
          <w:tcPr>
            <w:cnfStyle w:val="000000010000"/>
            <w:tcW w:w="1074" w:type="dxa"/>
          </w:tcPr>
          <w:p w14:paraId="00000154">
            <w:pPr>
              <w:jc w:val="both"/>
              <w:rPr>
                <w:rFonts w:ascii="Times New Roman" w:cs="Times New Roman" w:hAnsi="Times New Roman"/>
                <w:bCs/>
                <w:sz w:val="24"/>
                <w:szCs w:val="24"/>
              </w:rPr>
            </w:pPr>
            <w:r>
              <w:rPr>
                <w:rFonts w:ascii="Times New Roman" w:cs="Times New Roman" w:hAnsi="Times New Roman"/>
                <w:bCs/>
                <w:sz w:val="24"/>
                <w:szCs w:val="24"/>
              </w:rPr>
              <w:t>Нет</w:t>
            </w:r>
          </w:p>
        </w:tc>
      </w:tr>
      <w:tr>
        <w:trPr>
          <w:cnfStyle w:val="000000010000"/>
          <w:trHeight w:val="533" w:hRule="atLeast"/>
        </w:trPr>
        <w:tc>
          <w:tcPr>
            <w:cnfStyle w:val="001000100000"/>
            <w:tcW w:w="3426" w:type="dxa"/>
          </w:tcPr>
          <w:p w14:paraId="00000155">
            <w:pPr>
              <w:jc w:val="both"/>
              <w:rPr>
                <w:rFonts w:ascii="Times New Roman" w:cs="Times New Roman" w:hAnsi="Times New Roman"/>
                <w:bCs/>
                <w:sz w:val="24"/>
                <w:szCs w:val="24"/>
              </w:rPr>
            </w:pPr>
            <w:r>
              <w:rPr>
                <w:rFonts w:ascii="Times New Roman" w:cs="Times New Roman" w:hAnsi="Times New Roman"/>
                <w:bCs/>
                <w:sz w:val="24"/>
                <w:szCs w:val="24"/>
              </w:rPr>
              <w:t>Анализ чувствительности</w:t>
            </w:r>
          </w:p>
        </w:tc>
        <w:tc>
          <w:tcPr>
            <w:cnfStyle w:val="000000100000"/>
            <w:tcW w:w="1443" w:type="dxa"/>
          </w:tcPr>
          <w:p w14:paraId="00000156">
            <w:pPr>
              <w:jc w:val="both"/>
              <w:rPr>
                <w:rFonts w:ascii="Times New Roman" w:cs="Times New Roman" w:hAnsi="Times New Roman"/>
                <w:bCs/>
                <w:sz w:val="24"/>
                <w:szCs w:val="24"/>
              </w:rPr>
            </w:pPr>
            <w:r>
              <w:rPr>
                <w:rFonts w:ascii="Times New Roman" w:cs="Times New Roman" w:hAnsi="Times New Roman"/>
                <w:bCs/>
                <w:sz w:val="24"/>
                <w:szCs w:val="24"/>
              </w:rPr>
              <w:t>Да</w:t>
            </w:r>
          </w:p>
        </w:tc>
        <w:tc>
          <w:tcPr>
            <w:cnfStyle w:val="000000100000"/>
            <w:tcW w:w="1379" w:type="dxa"/>
          </w:tcPr>
          <w:p w14:paraId="00000157">
            <w:pPr>
              <w:jc w:val="both"/>
              <w:rPr>
                <w:rFonts w:ascii="Times New Roman" w:cs="Times New Roman" w:hAnsi="Times New Roman"/>
                <w:bCs/>
                <w:sz w:val="24"/>
                <w:szCs w:val="24"/>
              </w:rPr>
            </w:pPr>
            <w:r>
              <w:rPr>
                <w:rFonts w:ascii="Times New Roman" w:cs="Times New Roman" w:hAnsi="Times New Roman"/>
                <w:bCs/>
                <w:sz w:val="24"/>
                <w:szCs w:val="24"/>
              </w:rPr>
              <w:t>Да</w:t>
            </w:r>
          </w:p>
        </w:tc>
        <w:tc>
          <w:tcPr>
            <w:cnfStyle w:val="000000100000"/>
            <w:tcW w:w="2249" w:type="dxa"/>
          </w:tcPr>
          <w:p w14:paraId="00000158">
            <w:pPr>
              <w:jc w:val="both"/>
              <w:rPr>
                <w:rFonts w:ascii="Times New Roman" w:cs="Times New Roman" w:hAnsi="Times New Roman"/>
                <w:bCs/>
                <w:sz w:val="24"/>
                <w:szCs w:val="24"/>
              </w:rPr>
            </w:pPr>
            <w:r>
              <w:rPr>
                <w:rFonts w:ascii="Times New Roman" w:cs="Times New Roman" w:hAnsi="Times New Roman"/>
                <w:bCs/>
                <w:sz w:val="24"/>
                <w:szCs w:val="24"/>
              </w:rPr>
              <w:t>Сценарный анализ</w:t>
            </w:r>
          </w:p>
        </w:tc>
        <w:tc>
          <w:tcPr>
            <w:cnfStyle w:val="000000100000"/>
            <w:tcW w:w="1074" w:type="dxa"/>
          </w:tcPr>
          <w:p w14:paraId="00000159">
            <w:pPr>
              <w:jc w:val="both"/>
              <w:rPr>
                <w:rFonts w:ascii="Times New Roman" w:cs="Times New Roman" w:hAnsi="Times New Roman"/>
                <w:bCs/>
                <w:sz w:val="24"/>
                <w:szCs w:val="24"/>
              </w:rPr>
            </w:pPr>
            <w:r>
              <w:rPr>
                <w:rFonts w:ascii="Times New Roman" w:cs="Times New Roman" w:hAnsi="Times New Roman"/>
                <w:bCs/>
                <w:sz w:val="24"/>
                <w:szCs w:val="24"/>
              </w:rPr>
              <w:t>Да</w:t>
            </w:r>
          </w:p>
        </w:tc>
      </w:tr>
      <w:tr>
        <w:trPr>
          <w:cnfStyle w:val="000000100000"/>
        </w:trPr>
        <w:tc>
          <w:tcPr>
            <w:cnfStyle w:val="001000010000"/>
            <w:tcW w:w="3426" w:type="dxa"/>
          </w:tcPr>
          <w:p w14:paraId="0000015A">
            <w:pPr>
              <w:jc w:val="both"/>
              <w:rPr>
                <w:rFonts w:ascii="Times New Roman" w:cs="Times New Roman" w:hAnsi="Times New Roman"/>
                <w:bCs/>
                <w:sz w:val="24"/>
                <w:szCs w:val="24"/>
              </w:rPr>
            </w:pPr>
            <w:r>
              <w:rPr>
                <w:rFonts w:ascii="Times New Roman" w:cs="Times New Roman" w:hAnsi="Times New Roman"/>
                <w:bCs/>
                <w:sz w:val="24"/>
                <w:szCs w:val="24"/>
              </w:rPr>
              <w:t>Пригодность для получения кредита</w:t>
            </w:r>
          </w:p>
        </w:tc>
        <w:tc>
          <w:tcPr>
            <w:cnfStyle w:val="000000010000"/>
            <w:tcW w:w="1443" w:type="dxa"/>
          </w:tcPr>
          <w:p w14:paraId="0000015B">
            <w:pPr>
              <w:jc w:val="both"/>
              <w:rPr>
                <w:rFonts w:ascii="Times New Roman" w:cs="Times New Roman" w:hAnsi="Times New Roman"/>
                <w:bCs/>
                <w:sz w:val="24"/>
                <w:szCs w:val="24"/>
              </w:rPr>
            </w:pPr>
            <w:r>
              <w:rPr>
                <w:rFonts w:ascii="Times New Roman" w:cs="Times New Roman" w:hAnsi="Times New Roman"/>
                <w:bCs/>
                <w:sz w:val="24"/>
                <w:szCs w:val="24"/>
              </w:rPr>
              <w:t>Средняя</w:t>
            </w:r>
          </w:p>
        </w:tc>
        <w:tc>
          <w:tcPr>
            <w:cnfStyle w:val="000000010000"/>
            <w:tcW w:w="1379" w:type="dxa"/>
          </w:tcPr>
          <w:p w14:paraId="0000015C">
            <w:pPr>
              <w:jc w:val="both"/>
              <w:rPr>
                <w:rFonts w:ascii="Times New Roman" w:cs="Times New Roman" w:hAnsi="Times New Roman"/>
                <w:bCs/>
                <w:sz w:val="24"/>
                <w:szCs w:val="24"/>
              </w:rPr>
            </w:pPr>
            <w:r>
              <w:rPr>
                <w:rFonts w:ascii="Times New Roman" w:cs="Times New Roman" w:hAnsi="Times New Roman"/>
                <w:bCs/>
                <w:sz w:val="24"/>
                <w:szCs w:val="24"/>
              </w:rPr>
              <w:t>Высокая</w:t>
            </w:r>
          </w:p>
        </w:tc>
        <w:tc>
          <w:tcPr>
            <w:cnfStyle w:val="000000010000"/>
            <w:tcW w:w="2249" w:type="dxa"/>
          </w:tcPr>
          <w:p w14:paraId="0000015D">
            <w:pPr>
              <w:jc w:val="both"/>
              <w:rPr>
                <w:rFonts w:ascii="Times New Roman" w:cs="Times New Roman" w:hAnsi="Times New Roman"/>
                <w:bCs/>
                <w:sz w:val="24"/>
                <w:szCs w:val="24"/>
              </w:rPr>
            </w:pPr>
            <w:r>
              <w:rPr>
                <w:rFonts w:ascii="Times New Roman" w:cs="Times New Roman" w:hAnsi="Times New Roman"/>
                <w:bCs/>
                <w:sz w:val="24"/>
                <w:szCs w:val="24"/>
              </w:rPr>
              <w:t>Низкая</w:t>
            </w:r>
          </w:p>
        </w:tc>
        <w:tc>
          <w:tcPr>
            <w:cnfStyle w:val="000000010000"/>
            <w:tcW w:w="1074" w:type="dxa"/>
          </w:tcPr>
          <w:p w14:paraId="0000015E">
            <w:pPr>
              <w:jc w:val="both"/>
              <w:rPr>
                <w:rFonts w:ascii="Times New Roman" w:cs="Times New Roman" w:hAnsi="Times New Roman"/>
                <w:bCs/>
                <w:sz w:val="24"/>
                <w:szCs w:val="24"/>
              </w:rPr>
            </w:pPr>
            <w:r>
              <w:rPr>
                <w:rFonts w:ascii="Times New Roman" w:cs="Times New Roman" w:hAnsi="Times New Roman"/>
                <w:bCs/>
                <w:sz w:val="24"/>
                <w:szCs w:val="24"/>
              </w:rPr>
              <w:t>Средняя</w:t>
            </w:r>
          </w:p>
        </w:tc>
      </w:tr>
    </w:tbl>
    <w:p w14:paraId="0000015F">
      <w:pPr>
        <w:spacing w:beforeAutospacing="0" w:after="0" w:afterAutospacing="0" w:line="360" w:lineRule="auto"/>
        <w:ind w:firstLine="709"/>
        <w:jc w:val="both"/>
        <w:rPr>
          <w:rFonts w:ascii="Times New Roman" w:cs="Times New Roman" w:hAnsi="Times New Roman"/>
          <w:b/>
          <w:bCs/>
          <w:i/>
          <w:iCs/>
          <w:sz w:val="28"/>
          <w:szCs w:val="28"/>
        </w:rPr>
      </w:pPr>
    </w:p>
    <w:p w14:paraId="00000160">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Каждая из представленных методик имеет свои сильные и слабые стороны. Методика UNIDO наиболее детальна и универсальна, методика ЕБРР незаменима при привлечении кредитных ресурсов, методика TACIS лучше других учитывает российскую специфику, а PMBOK описывает процессную сторону управления проектом. На практике часто используется комбинированный подход, когда за основу берётся структура UNIDO, финансовый блок дополняется требованиями ЕБРР, а раздел анализа рынка – элементами TACIS [49, с. 346].</w:t>
      </w:r>
    </w:p>
    <w:p w14:paraId="00000161">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Важным дополнением к классическим методикам является концепция «бережливого бизнес-планирования» (Lean Business Planning). Данная концепция предполагает, что бизнес-план не должен быть статичным документом, разработанным один раз на весь период реализации проекта. </w:t>
      </w:r>
      <w:r>
        <w:rPr>
          <w:rFonts w:ascii="Times New Roman" w:cs="Times New Roman" w:hAnsi="Times New Roman"/>
          <w:bCs/>
          <w:sz w:val="28"/>
          <w:szCs w:val="28"/>
        </w:rPr>
        <w:t>Вместо этого рекомендуется обновлять бизнес-план ежемесячно на основе фактических данных, а также использовать сокращённые форматы (план на одной странице, план-график на 90 дней) для оперативного управления. Такой подход особенно актуален для малых и средних проектов, реализуемых в условиях высокой неопределённости внешней среды [42, с. 9].</w:t>
      </w:r>
    </w:p>
    <w:p w14:paraId="00000162">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Внедрение принципов бережливого производства в управление проектами привело к появлению методологии Lean Project Management. Её основные принципы: устранение потерь (времени, запасов, брака, излишней обработки, ожидания, транспортировки), непрерывное улучшение (кайдзен), вовлечение всех участников команды в принятие решений, визуализация потока работ (канбан-доски), синхронизация поставок (точно вовремя). Применение </w:t>
      </w:r>
      <w:r>
        <w:rPr>
          <w:rFonts w:ascii="Times New Roman" w:cs="Times New Roman" w:hAnsi="Times New Roman"/>
          <w:bCs/>
          <w:sz w:val="28"/>
          <w:szCs w:val="28"/>
        </w:rPr>
        <w:t>принципов бережливого производства</w:t>
      </w:r>
      <w:r>
        <w:rPr>
          <w:rFonts w:ascii="Times New Roman" w:cs="Times New Roman" w:hAnsi="Times New Roman"/>
          <w:bCs/>
          <w:sz w:val="28"/>
          <w:szCs w:val="28"/>
        </w:rPr>
        <w:t xml:space="preserve"> позволяет сократить длительность инвестиционной фазы на 15–25% и сэкономить 10–15% бюджета за счёт устранения неоправданных расходов [43, с. 30].</w:t>
      </w:r>
    </w:p>
    <w:p w14:paraId="00000163">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Для проектов, связанных с созданием или развитием предприятия, особое значение имеет стратегическое управление проектами. Оно предполагает увязку проектной деятельности с общей стратегией развития организации. Стратегическое управление проектами включает выбор проектов на основе их вклада в достижение стратегических целей, распределение ресурсов между проектами (портфельное управление), а также мониторинг достижения стратегических показателей [42, с. 20].</w:t>
      </w:r>
    </w:p>
    <w:p w14:paraId="00000164">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Портфельное управление проектами (Project Portfolio Management) является отдельной областью знаний. Портфель проектов – это совокупность проектов и программ, объединённых общими стратегическими целями и конкурирующих за ограниченные ресурсы (финансы, персонал, оборудование). Управление портфелем включает каталогизацию проектов, их оценку и ранжирование, балансировку портфеля по рискам, срокам и доходности, а также регулярный пересмотр состава портфеля. Для оценки проектов используются методы экономической оценки (NPV, IRR), а также </w:t>
      </w:r>
      <w:r>
        <w:rPr>
          <w:rFonts w:ascii="Times New Roman" w:cs="Times New Roman" w:hAnsi="Times New Roman"/>
          <w:bCs/>
          <w:sz w:val="28"/>
          <w:szCs w:val="28"/>
        </w:rPr>
        <w:t>многокритериальные методы (балльные оценки, метод анализа иерархий) [29, с. 82].</w:t>
      </w:r>
    </w:p>
    <w:p w14:paraId="00000165">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В таблице 1.6 представлены методы оценки проектов при портфельном управлении.</w:t>
      </w:r>
    </w:p>
    <w:p w14:paraId="00000166">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Таблица 1.6 – Методы оценки проектов в портфельном управлении [29, с. 90]</w:t>
      </w:r>
    </w:p>
    <w:tbl>
      <w:tblPr>
        <w:tblStyle w:val="TableGrid"/>
        <w:tblW w:w="9505" w:type="dxa"/>
        <w:tblLook w:val="04A0"/>
      </w:tblPr>
      <w:tblGrid>
        <w:gridCol w:w="1808"/>
        <w:gridCol w:w="2740"/>
        <w:gridCol w:w="2331"/>
        <w:gridCol w:w="2626"/>
      </w:tblGrid>
      <w:tr>
        <w:trPr>
          <w:cnfStyle w:val="100000000000"/>
        </w:trPr>
        <w:tc>
          <w:tcPr>
            <w:cnfStyle w:val="101000000000"/>
            <w:tcW w:w="1808" w:type="dxa"/>
          </w:tcPr>
          <w:p w14:paraId="00000167">
            <w:pPr>
              <w:jc w:val="center"/>
              <w:rPr>
                <w:rFonts w:ascii="Times New Roman" w:cs="Times New Roman" w:hAnsi="Times New Roman"/>
                <w:bCs/>
                <w:sz w:val="24"/>
                <w:szCs w:val="24"/>
              </w:rPr>
            </w:pPr>
            <w:r>
              <w:rPr>
                <w:rFonts w:ascii="Times New Roman" w:cs="Times New Roman" w:hAnsi="Times New Roman"/>
                <w:bCs/>
                <w:sz w:val="24"/>
                <w:szCs w:val="24"/>
              </w:rPr>
              <w:t>Метод</w:t>
            </w:r>
          </w:p>
        </w:tc>
        <w:tc>
          <w:tcPr>
            <w:cnfStyle w:val="100000000000"/>
            <w:tcW w:w="2740" w:type="dxa"/>
          </w:tcPr>
          <w:p w14:paraId="00000168">
            <w:pPr>
              <w:jc w:val="center"/>
              <w:rPr>
                <w:rFonts w:ascii="Times New Roman" w:cs="Times New Roman" w:hAnsi="Times New Roman"/>
                <w:bCs/>
                <w:sz w:val="24"/>
                <w:szCs w:val="24"/>
              </w:rPr>
            </w:pPr>
            <w:r>
              <w:rPr>
                <w:rFonts w:ascii="Times New Roman" w:cs="Times New Roman" w:hAnsi="Times New Roman"/>
                <w:bCs/>
                <w:sz w:val="24"/>
                <w:szCs w:val="24"/>
              </w:rPr>
              <w:t>Сущность</w:t>
            </w:r>
          </w:p>
        </w:tc>
        <w:tc>
          <w:tcPr>
            <w:cnfStyle w:val="100000000000"/>
            <w:tcW w:w="2331" w:type="dxa"/>
          </w:tcPr>
          <w:p w14:paraId="00000169">
            <w:pPr>
              <w:jc w:val="center"/>
              <w:rPr>
                <w:rFonts w:ascii="Times New Roman" w:cs="Times New Roman" w:hAnsi="Times New Roman"/>
                <w:bCs/>
                <w:sz w:val="24"/>
                <w:szCs w:val="24"/>
              </w:rPr>
            </w:pPr>
            <w:r>
              <w:rPr>
                <w:rFonts w:ascii="Times New Roman" w:cs="Times New Roman" w:hAnsi="Times New Roman"/>
                <w:bCs/>
                <w:sz w:val="24"/>
                <w:szCs w:val="24"/>
              </w:rPr>
              <w:t>Достоинства</w:t>
            </w:r>
          </w:p>
        </w:tc>
        <w:tc>
          <w:tcPr>
            <w:cnfStyle w:val="100000000000"/>
            <w:tcW w:w="2626" w:type="dxa"/>
          </w:tcPr>
          <w:p w14:paraId="0000016A">
            <w:pPr>
              <w:jc w:val="center"/>
              <w:rPr>
                <w:rFonts w:ascii="Times New Roman" w:cs="Times New Roman" w:hAnsi="Times New Roman"/>
                <w:bCs/>
                <w:sz w:val="24"/>
                <w:szCs w:val="24"/>
              </w:rPr>
            </w:pPr>
            <w:r>
              <w:rPr>
                <w:rFonts w:ascii="Times New Roman" w:cs="Times New Roman" w:hAnsi="Times New Roman"/>
                <w:bCs/>
                <w:sz w:val="24"/>
                <w:szCs w:val="24"/>
              </w:rPr>
              <w:t>Недостатки</w:t>
            </w:r>
          </w:p>
        </w:tc>
      </w:tr>
      <w:tr>
        <w:trPr>
          <w:cnfStyle w:val="000000100000"/>
        </w:trPr>
        <w:tc>
          <w:tcPr>
            <w:cnfStyle w:val="001000100000"/>
            <w:tcW w:w="1808" w:type="dxa"/>
          </w:tcPr>
          <w:p w14:paraId="0000016B">
            <w:pPr>
              <w:jc w:val="both"/>
              <w:rPr>
                <w:rFonts w:ascii="Times New Roman" w:cs="Times New Roman" w:hAnsi="Times New Roman"/>
                <w:bCs/>
                <w:sz w:val="24"/>
                <w:szCs w:val="24"/>
              </w:rPr>
            </w:pPr>
            <w:r>
              <w:rPr>
                <w:rFonts w:ascii="Times New Roman" w:cs="Times New Roman" w:hAnsi="Times New Roman"/>
                <w:bCs/>
                <w:sz w:val="24"/>
                <w:szCs w:val="24"/>
              </w:rPr>
              <w:t>Экономическая оценка</w:t>
            </w:r>
          </w:p>
        </w:tc>
        <w:tc>
          <w:tcPr>
            <w:cnfStyle w:val="000000100000"/>
            <w:tcW w:w="2740" w:type="dxa"/>
          </w:tcPr>
          <w:p w14:paraId="0000016C">
            <w:pPr>
              <w:jc w:val="both"/>
              <w:rPr>
                <w:rFonts w:ascii="Times New Roman" w:cs="Times New Roman" w:hAnsi="Times New Roman"/>
                <w:bCs/>
                <w:sz w:val="24"/>
                <w:szCs w:val="24"/>
              </w:rPr>
            </w:pPr>
            <w:r>
              <w:rPr>
                <w:rFonts w:ascii="Times New Roman" w:cs="Times New Roman" w:hAnsi="Times New Roman"/>
                <w:bCs/>
                <w:sz w:val="24"/>
                <w:szCs w:val="24"/>
              </w:rPr>
              <w:t>Расчёт NPV, IRR, срока окупаемости</w:t>
            </w:r>
          </w:p>
        </w:tc>
        <w:tc>
          <w:tcPr>
            <w:cnfStyle w:val="000000100000"/>
            <w:tcW w:w="2331" w:type="dxa"/>
          </w:tcPr>
          <w:p w14:paraId="0000016D">
            <w:pPr>
              <w:jc w:val="both"/>
              <w:rPr>
                <w:rFonts w:ascii="Times New Roman" w:cs="Times New Roman" w:hAnsi="Times New Roman"/>
                <w:bCs/>
                <w:sz w:val="24"/>
                <w:szCs w:val="24"/>
              </w:rPr>
            </w:pPr>
            <w:r>
              <w:rPr>
                <w:rFonts w:ascii="Times New Roman" w:cs="Times New Roman" w:hAnsi="Times New Roman"/>
                <w:bCs/>
                <w:sz w:val="24"/>
                <w:szCs w:val="24"/>
              </w:rPr>
              <w:t>Объективность, сравнимость</w:t>
            </w:r>
          </w:p>
        </w:tc>
        <w:tc>
          <w:tcPr>
            <w:cnfStyle w:val="000000100000"/>
            <w:tcW w:w="2626" w:type="dxa"/>
          </w:tcPr>
          <w:p w14:paraId="0000016E">
            <w:pPr>
              <w:jc w:val="both"/>
              <w:rPr>
                <w:rFonts w:ascii="Times New Roman" w:cs="Times New Roman" w:hAnsi="Times New Roman"/>
                <w:bCs/>
                <w:sz w:val="24"/>
                <w:szCs w:val="24"/>
              </w:rPr>
            </w:pPr>
            <w:r>
              <w:rPr>
                <w:rFonts w:ascii="Times New Roman" w:cs="Times New Roman" w:hAnsi="Times New Roman"/>
                <w:bCs/>
                <w:sz w:val="24"/>
                <w:szCs w:val="24"/>
              </w:rPr>
              <w:t>Не учитывает стратегическую важность</w:t>
            </w:r>
          </w:p>
        </w:tc>
      </w:tr>
      <w:tr>
        <w:trPr>
          <w:cnfStyle w:val="000000010000"/>
        </w:trPr>
        <w:tc>
          <w:tcPr>
            <w:cnfStyle w:val="001000010000"/>
            <w:tcW w:w="1808" w:type="dxa"/>
          </w:tcPr>
          <w:p w14:paraId="0000016F">
            <w:pPr>
              <w:jc w:val="both"/>
              <w:rPr>
                <w:rFonts w:ascii="Times New Roman" w:cs="Times New Roman" w:hAnsi="Times New Roman"/>
                <w:bCs/>
                <w:sz w:val="24"/>
                <w:szCs w:val="24"/>
              </w:rPr>
            </w:pPr>
            <w:r>
              <w:rPr>
                <w:rFonts w:ascii="Times New Roman" w:cs="Times New Roman" w:hAnsi="Times New Roman"/>
                <w:bCs/>
                <w:sz w:val="24"/>
                <w:szCs w:val="24"/>
              </w:rPr>
              <w:t>Балльная оценка</w:t>
            </w:r>
          </w:p>
        </w:tc>
        <w:tc>
          <w:tcPr>
            <w:cnfStyle w:val="000000010000"/>
            <w:tcW w:w="2740" w:type="dxa"/>
          </w:tcPr>
          <w:p w14:paraId="00000170">
            <w:pPr>
              <w:jc w:val="both"/>
              <w:rPr>
                <w:rFonts w:ascii="Times New Roman" w:cs="Times New Roman" w:hAnsi="Times New Roman"/>
                <w:bCs/>
                <w:sz w:val="24"/>
                <w:szCs w:val="24"/>
              </w:rPr>
            </w:pPr>
            <w:r>
              <w:rPr>
                <w:rFonts w:ascii="Times New Roman" w:cs="Times New Roman" w:hAnsi="Times New Roman"/>
                <w:bCs/>
                <w:sz w:val="24"/>
                <w:szCs w:val="24"/>
              </w:rPr>
              <w:t>Экспертное ранжирование по критериям</w:t>
            </w:r>
          </w:p>
        </w:tc>
        <w:tc>
          <w:tcPr>
            <w:cnfStyle w:val="000000010000"/>
            <w:tcW w:w="2331" w:type="dxa"/>
          </w:tcPr>
          <w:p w14:paraId="00000171">
            <w:pPr>
              <w:jc w:val="both"/>
              <w:rPr>
                <w:rFonts w:ascii="Times New Roman" w:cs="Times New Roman" w:hAnsi="Times New Roman"/>
                <w:bCs/>
                <w:sz w:val="24"/>
                <w:szCs w:val="24"/>
              </w:rPr>
            </w:pPr>
            <w:r>
              <w:rPr>
                <w:rFonts w:ascii="Times New Roman" w:cs="Times New Roman" w:hAnsi="Times New Roman"/>
                <w:bCs/>
                <w:sz w:val="24"/>
                <w:szCs w:val="24"/>
              </w:rPr>
              <w:t>Учитывает качественные факторы</w:t>
            </w:r>
          </w:p>
        </w:tc>
        <w:tc>
          <w:tcPr>
            <w:cnfStyle w:val="000000010000"/>
            <w:tcW w:w="2626" w:type="dxa"/>
          </w:tcPr>
          <w:p w14:paraId="00000172">
            <w:pPr>
              <w:jc w:val="both"/>
              <w:rPr>
                <w:rFonts w:ascii="Times New Roman" w:cs="Times New Roman" w:hAnsi="Times New Roman"/>
                <w:bCs/>
                <w:sz w:val="24"/>
                <w:szCs w:val="24"/>
              </w:rPr>
            </w:pPr>
            <w:r>
              <w:rPr>
                <w:rFonts w:ascii="Times New Roman" w:cs="Times New Roman" w:hAnsi="Times New Roman"/>
                <w:bCs/>
                <w:sz w:val="24"/>
                <w:szCs w:val="24"/>
              </w:rPr>
              <w:t>Субъективность</w:t>
            </w:r>
          </w:p>
        </w:tc>
      </w:tr>
      <w:tr>
        <w:trPr>
          <w:cnfStyle w:val="000000100000"/>
        </w:trPr>
        <w:tc>
          <w:tcPr>
            <w:cnfStyle w:val="001000100000"/>
            <w:tcW w:w="1808" w:type="dxa"/>
          </w:tcPr>
          <w:p w14:paraId="00000173">
            <w:pPr>
              <w:jc w:val="both"/>
              <w:rPr>
                <w:rFonts w:ascii="Times New Roman" w:cs="Times New Roman" w:hAnsi="Times New Roman"/>
                <w:bCs/>
                <w:sz w:val="24"/>
                <w:szCs w:val="24"/>
              </w:rPr>
            </w:pPr>
            <w:r>
              <w:rPr>
                <w:rFonts w:ascii="Times New Roman" w:cs="Times New Roman" w:hAnsi="Times New Roman"/>
                <w:bCs/>
                <w:sz w:val="24"/>
                <w:szCs w:val="24"/>
              </w:rPr>
              <w:t>Метод анализа иерархий</w:t>
            </w:r>
          </w:p>
        </w:tc>
        <w:tc>
          <w:tcPr>
            <w:cnfStyle w:val="000000100000"/>
            <w:tcW w:w="2740" w:type="dxa"/>
          </w:tcPr>
          <w:p w14:paraId="00000174">
            <w:pPr>
              <w:jc w:val="both"/>
              <w:rPr>
                <w:rFonts w:ascii="Times New Roman" w:cs="Times New Roman" w:hAnsi="Times New Roman"/>
                <w:bCs/>
                <w:sz w:val="24"/>
                <w:szCs w:val="24"/>
              </w:rPr>
            </w:pPr>
            <w:r>
              <w:rPr>
                <w:rFonts w:ascii="Times New Roman" w:cs="Times New Roman" w:hAnsi="Times New Roman"/>
                <w:bCs/>
                <w:sz w:val="24"/>
                <w:szCs w:val="24"/>
              </w:rPr>
              <w:t>Попарное сравнение альтернатив</w:t>
            </w:r>
          </w:p>
        </w:tc>
        <w:tc>
          <w:tcPr>
            <w:cnfStyle w:val="000000100000"/>
            <w:tcW w:w="2331" w:type="dxa"/>
          </w:tcPr>
          <w:p w14:paraId="00000175">
            <w:pPr>
              <w:jc w:val="both"/>
              <w:rPr>
                <w:rFonts w:ascii="Times New Roman" w:cs="Times New Roman" w:hAnsi="Times New Roman"/>
                <w:bCs/>
                <w:sz w:val="24"/>
                <w:szCs w:val="24"/>
              </w:rPr>
            </w:pPr>
            <w:r>
              <w:rPr>
                <w:rFonts w:ascii="Times New Roman" w:cs="Times New Roman" w:hAnsi="Times New Roman"/>
                <w:bCs/>
                <w:sz w:val="24"/>
                <w:szCs w:val="24"/>
              </w:rPr>
              <w:t>Системность, согласованность</w:t>
            </w:r>
          </w:p>
        </w:tc>
        <w:tc>
          <w:tcPr>
            <w:cnfStyle w:val="000000100000"/>
            <w:tcW w:w="2626" w:type="dxa"/>
          </w:tcPr>
          <w:p w14:paraId="00000176">
            <w:pPr>
              <w:jc w:val="both"/>
              <w:rPr>
                <w:rFonts w:ascii="Times New Roman" w:cs="Times New Roman" w:hAnsi="Times New Roman"/>
                <w:bCs/>
                <w:sz w:val="24"/>
                <w:szCs w:val="24"/>
              </w:rPr>
            </w:pPr>
            <w:r>
              <w:rPr>
                <w:rFonts w:ascii="Times New Roman" w:cs="Times New Roman" w:hAnsi="Times New Roman"/>
                <w:bCs/>
                <w:sz w:val="24"/>
                <w:szCs w:val="24"/>
              </w:rPr>
              <w:t>Трудоёмкость</w:t>
            </w:r>
          </w:p>
        </w:tc>
      </w:tr>
      <w:tr>
        <w:trPr>
          <w:cnfStyle w:val="000000010000"/>
        </w:trPr>
        <w:tc>
          <w:tcPr>
            <w:cnfStyle w:val="001000010000"/>
            <w:tcW w:w="1808" w:type="dxa"/>
          </w:tcPr>
          <w:p w14:paraId="00000177">
            <w:pPr>
              <w:jc w:val="both"/>
              <w:rPr>
                <w:rFonts w:ascii="Times New Roman" w:cs="Times New Roman" w:hAnsi="Times New Roman"/>
                <w:bCs/>
                <w:sz w:val="24"/>
                <w:szCs w:val="24"/>
              </w:rPr>
            </w:pPr>
            <w:r>
              <w:rPr>
                <w:rFonts w:ascii="Times New Roman" w:cs="Times New Roman" w:hAnsi="Times New Roman"/>
                <w:bCs/>
                <w:sz w:val="24"/>
                <w:szCs w:val="24"/>
              </w:rPr>
              <w:t>Анализ рисков</w:t>
            </w:r>
          </w:p>
        </w:tc>
        <w:tc>
          <w:tcPr>
            <w:cnfStyle w:val="000000010000"/>
            <w:tcW w:w="2740" w:type="dxa"/>
          </w:tcPr>
          <w:p w14:paraId="00000178">
            <w:pPr>
              <w:jc w:val="both"/>
              <w:rPr>
                <w:rFonts w:ascii="Times New Roman" w:cs="Times New Roman" w:hAnsi="Times New Roman"/>
                <w:bCs/>
                <w:sz w:val="24"/>
                <w:szCs w:val="24"/>
              </w:rPr>
            </w:pPr>
            <w:r>
              <w:rPr>
                <w:rFonts w:ascii="Times New Roman" w:cs="Times New Roman" w:hAnsi="Times New Roman"/>
                <w:bCs/>
                <w:sz w:val="24"/>
                <w:szCs w:val="24"/>
              </w:rPr>
              <w:t>Оценка вероятности и последствий</w:t>
            </w:r>
          </w:p>
        </w:tc>
        <w:tc>
          <w:tcPr>
            <w:cnfStyle w:val="000000010000"/>
            <w:tcW w:w="2331" w:type="dxa"/>
          </w:tcPr>
          <w:p w14:paraId="00000179">
            <w:pPr>
              <w:jc w:val="both"/>
              <w:rPr>
                <w:rFonts w:ascii="Times New Roman" w:cs="Times New Roman" w:hAnsi="Times New Roman"/>
                <w:bCs/>
                <w:sz w:val="24"/>
                <w:szCs w:val="24"/>
              </w:rPr>
            </w:pPr>
            <w:r>
              <w:rPr>
                <w:rFonts w:ascii="Times New Roman" w:cs="Times New Roman" w:hAnsi="Times New Roman"/>
                <w:bCs/>
                <w:sz w:val="24"/>
                <w:szCs w:val="24"/>
              </w:rPr>
              <w:t>Учёт неопределённости</w:t>
            </w:r>
          </w:p>
        </w:tc>
        <w:tc>
          <w:tcPr>
            <w:cnfStyle w:val="000000010000"/>
            <w:tcW w:w="2626" w:type="dxa"/>
          </w:tcPr>
          <w:p w14:paraId="0000017A">
            <w:pPr>
              <w:jc w:val="both"/>
              <w:rPr>
                <w:rFonts w:ascii="Times New Roman" w:cs="Times New Roman" w:hAnsi="Times New Roman"/>
                <w:bCs/>
                <w:sz w:val="24"/>
                <w:szCs w:val="24"/>
              </w:rPr>
            </w:pPr>
            <w:r>
              <w:rPr>
                <w:rFonts w:ascii="Times New Roman" w:cs="Times New Roman" w:hAnsi="Times New Roman"/>
                <w:bCs/>
                <w:sz w:val="24"/>
                <w:szCs w:val="24"/>
              </w:rPr>
              <w:t>Требует экспертных оценок</w:t>
            </w:r>
          </w:p>
        </w:tc>
      </w:tr>
    </w:tbl>
    <w:p w14:paraId="0000017B">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Выбор метода оценки проектов зависит от целей портфельного управления. Для финансово ориентированных организаций приоритетом является экономическая оценка (NPV, IRR). Для государственных и некоммерческих организаций важнее многокритериальные методы, учитывающие социальную и экологическую эффективность. Рекомендуется комбинировать несколько методов для получения более сбалансированной оценки.</w:t>
      </w:r>
    </w:p>
    <w:p w14:paraId="0000017C">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Управление проектами в современной практике немыслимо без использования специализированного программного обеспечения. К числу наиболее распространённых программных продуктов относятся: Microsoft Project (для календарного планирования и управления ресурсами), Primavera P6 (для крупных инвестиционно-строительных проектов), Jira (для гибких методологий в IT), Trello (для визуализации задач в малых проектах), а также системы для финансового моделирования Project Expert и Альт-Инвест. Использование программного обеспечения позволяет автоматизировать </w:t>
      </w:r>
      <w:r>
        <w:rPr>
          <w:rFonts w:ascii="Times New Roman" w:cs="Times New Roman" w:hAnsi="Times New Roman"/>
          <w:bCs/>
          <w:sz w:val="28"/>
          <w:szCs w:val="28"/>
        </w:rPr>
        <w:t>расчёты, строить диаграммы Ганта, проводить анализ чувствительности, отслеживать исполнение бюджета в реальном времени [32, с. 64].</w:t>
      </w:r>
    </w:p>
    <w:p w14:paraId="0000017D">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Цифровая трансформация управления проектами включает внедрение проектных онлайн-платформ, использование больших данных для прогнозирования рисков, применение искусственного интеллекта для оптимизации календарных планов, а также использование технологии блокчейн для обеспечения прозрачности расчётов и поставок. Современные тенденции указывают на постепенный переход от жёстких регламентированных методик к более гибким, адаптивным подходам, способным быстро реагировать на изменения внешней среды [35, с. 35].</w:t>
      </w:r>
    </w:p>
    <w:p w14:paraId="0000017E">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Гибкие методологии управления проектами первоначально разрабатывались для IT-отрасли, но в настоящее время их принципы всё чаще применяются и в других сферах, включая промышленность и строительство. Наиболее известными agile-методологиями являются Scrum, Kanban и Extreme Programming (XP). Scrum предполагает разбивку работ на короткие итерации (спринты), в конце каждой из которых заказчику демонстрируется работающий продукт. Kanban основан на визуализации потока задач и ограничении количества задач, одновременно находящихся в работе. Эти методы не требуют детального планирования на длительный срок и позволяют быстро адаптироваться к изменяющимся требованиям [38, с. 26]. В таблице 1.7 представлены основные принципы и содержание </w:t>
      </w:r>
      <w:r>
        <w:rPr>
          <w:rFonts w:ascii="Times New Roman" w:cs="Times New Roman" w:hAnsi="Times New Roman"/>
          <w:bCs/>
          <w:sz w:val="28"/>
          <w:szCs w:val="28"/>
        </w:rPr>
        <w:t xml:space="preserve">гибких </w:t>
      </w:r>
      <w:r>
        <w:rPr>
          <w:rFonts w:ascii="Times New Roman" w:cs="Times New Roman" w:hAnsi="Times New Roman"/>
          <w:bCs/>
          <w:sz w:val="28"/>
          <w:szCs w:val="28"/>
        </w:rPr>
        <w:t>методологий.</w:t>
      </w:r>
    </w:p>
    <w:p w14:paraId="0000017F">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 xml:space="preserve">Таблица 1.7 – Основные принципы </w:t>
      </w:r>
      <w:r>
        <w:rPr>
          <w:rFonts w:ascii="Times New Roman" w:cs="Times New Roman" w:hAnsi="Times New Roman"/>
          <w:bCs/>
          <w:sz w:val="28"/>
          <w:szCs w:val="28"/>
        </w:rPr>
        <w:t xml:space="preserve">гибких </w:t>
      </w:r>
      <w:r>
        <w:rPr>
          <w:rFonts w:ascii="Times New Roman" w:cs="Times New Roman" w:hAnsi="Times New Roman"/>
          <w:bCs/>
          <w:sz w:val="28"/>
          <w:szCs w:val="28"/>
        </w:rPr>
        <w:t>методологий [37, с. 24]</w:t>
      </w:r>
    </w:p>
    <w:tbl>
      <w:tblPr>
        <w:tblStyle w:val="TableGrid"/>
        <w:tblW w:w="9493" w:type="dxa"/>
        <w:jc w:val="center"/>
        <w:tblLook w:val="04A0"/>
      </w:tblPr>
      <w:tblGrid>
        <w:gridCol w:w="4501"/>
        <w:gridCol w:w="4992"/>
      </w:tblGrid>
      <w:tr>
        <w:trPr>
          <w:jc w:val="center"/>
        </w:trPr>
        <w:tc>
          <w:tcPr>
            <w:cnfStyle w:val="101000000000"/>
            <w:tcW w:w="4501" w:type="dxa"/>
          </w:tcPr>
          <w:p w14:paraId="00000180">
            <w:pPr>
              <w:jc w:val="center"/>
              <w:rPr>
                <w:rFonts w:ascii="Times New Roman" w:cs="Times New Roman" w:hAnsi="Times New Roman"/>
                <w:bCs/>
                <w:sz w:val="24"/>
                <w:szCs w:val="24"/>
              </w:rPr>
            </w:pPr>
            <w:r>
              <w:rPr>
                <w:rFonts w:ascii="Times New Roman" w:cs="Times New Roman" w:hAnsi="Times New Roman"/>
                <w:bCs/>
                <w:sz w:val="24"/>
                <w:szCs w:val="24"/>
              </w:rPr>
              <w:t>Принцип</w:t>
            </w:r>
          </w:p>
        </w:tc>
        <w:tc>
          <w:tcPr>
            <w:cnfStyle w:val="100000000000"/>
            <w:tcW w:w="4992" w:type="dxa"/>
          </w:tcPr>
          <w:p w14:paraId="00000181">
            <w:pPr>
              <w:jc w:val="center"/>
              <w:rPr>
                <w:rFonts w:ascii="Times New Roman" w:cs="Times New Roman" w:hAnsi="Times New Roman"/>
                <w:bCs/>
                <w:sz w:val="24"/>
                <w:szCs w:val="24"/>
              </w:rPr>
            </w:pPr>
            <w:r>
              <w:rPr>
                <w:rFonts w:ascii="Times New Roman" w:cs="Times New Roman" w:hAnsi="Times New Roman"/>
                <w:bCs/>
                <w:sz w:val="24"/>
                <w:szCs w:val="24"/>
              </w:rPr>
              <w:t>Содержание</w:t>
            </w:r>
          </w:p>
        </w:tc>
      </w:tr>
      <w:tr>
        <w:trPr>
          <w:trHeight w:val="255"/>
          <w:jc w:val="center"/>
        </w:trPr>
        <w:tc>
          <w:tcPr>
            <w:cnfStyle w:val="001000100000"/>
            <w:tcW w:w="4501" w:type="dxa"/>
          </w:tcPr>
          <w:p w14:paraId="00000182">
            <w:pPr>
              <w:jc w:val="both"/>
              <w:rPr>
                <w:rFonts w:ascii="Times New Roman" w:cs="Times New Roman" w:hAnsi="Times New Roman"/>
                <w:bCs/>
                <w:sz w:val="24"/>
                <w:szCs w:val="24"/>
              </w:rPr>
            </w:pPr>
            <w:r>
              <w:rPr>
                <w:rFonts w:ascii="Times New Roman" w:cs="Times New Roman" w:hAnsi="Times New Roman"/>
                <w:bCs/>
                <w:sz w:val="24"/>
                <w:szCs w:val="24"/>
              </w:rPr>
              <w:t>Люди и взаимодействие</w:t>
            </w:r>
          </w:p>
        </w:tc>
        <w:tc>
          <w:tcPr>
            <w:cnfStyle w:val="000000100000"/>
            <w:tcW w:w="4992" w:type="dxa"/>
          </w:tcPr>
          <w:p w14:paraId="00000183">
            <w:pPr>
              <w:jc w:val="both"/>
              <w:rPr>
                <w:rFonts w:ascii="Times New Roman" w:cs="Times New Roman" w:hAnsi="Times New Roman"/>
                <w:bCs/>
                <w:sz w:val="24"/>
                <w:szCs w:val="24"/>
              </w:rPr>
            </w:pPr>
            <w:r>
              <w:rPr>
                <w:rFonts w:ascii="Times New Roman" w:cs="Times New Roman" w:hAnsi="Times New Roman"/>
                <w:bCs/>
                <w:sz w:val="24"/>
                <w:szCs w:val="24"/>
              </w:rPr>
              <w:t>Важнее процессов и инструментов</w:t>
            </w:r>
          </w:p>
        </w:tc>
      </w:tr>
      <w:tr>
        <w:trPr>
          <w:trHeight w:val="267" w:hRule="atLeast"/>
          <w:jc w:val="center"/>
        </w:trPr>
        <w:tc>
          <w:tcPr>
            <w:cnfStyle w:val="001000010000"/>
            <w:tcW w:w="4501" w:type="dxa"/>
          </w:tcPr>
          <w:p w14:paraId="00000184">
            <w:pPr>
              <w:jc w:val="both"/>
              <w:rPr>
                <w:rFonts w:ascii="Times New Roman" w:cs="Times New Roman" w:hAnsi="Times New Roman"/>
                <w:bCs/>
                <w:sz w:val="24"/>
                <w:szCs w:val="24"/>
              </w:rPr>
            </w:pPr>
            <w:r>
              <w:rPr>
                <w:rFonts w:ascii="Times New Roman" w:cs="Times New Roman" w:hAnsi="Times New Roman"/>
                <w:bCs/>
                <w:sz w:val="24"/>
                <w:szCs w:val="24"/>
              </w:rPr>
              <w:t>Работающий продукт</w:t>
            </w:r>
          </w:p>
        </w:tc>
        <w:tc>
          <w:tcPr>
            <w:cnfStyle w:val="000000010000"/>
            <w:tcW w:w="4992" w:type="dxa"/>
          </w:tcPr>
          <w:p w14:paraId="00000185">
            <w:pPr>
              <w:jc w:val="both"/>
              <w:rPr>
                <w:rFonts w:ascii="Times New Roman" w:cs="Times New Roman" w:hAnsi="Times New Roman"/>
                <w:bCs/>
                <w:sz w:val="24"/>
                <w:szCs w:val="24"/>
              </w:rPr>
            </w:pPr>
            <w:r>
              <w:rPr>
                <w:rFonts w:ascii="Times New Roman" w:cs="Times New Roman" w:hAnsi="Times New Roman"/>
                <w:bCs/>
                <w:sz w:val="24"/>
                <w:szCs w:val="24"/>
              </w:rPr>
              <w:t>Важнее исчерпывающей документации</w:t>
            </w:r>
          </w:p>
        </w:tc>
      </w:tr>
      <w:tr>
        <w:trPr>
          <w:jc w:val="center"/>
        </w:trPr>
        <w:tc>
          <w:tcPr>
            <w:cnfStyle w:val="001000100000"/>
            <w:tcW w:w="4501" w:type="dxa"/>
          </w:tcPr>
          <w:p w14:paraId="00000186">
            <w:pPr>
              <w:jc w:val="both"/>
              <w:rPr>
                <w:rFonts w:ascii="Times New Roman" w:cs="Times New Roman" w:hAnsi="Times New Roman"/>
                <w:bCs/>
                <w:sz w:val="24"/>
                <w:szCs w:val="24"/>
              </w:rPr>
            </w:pPr>
            <w:r>
              <w:rPr>
                <w:rFonts w:ascii="Times New Roman" w:cs="Times New Roman" w:hAnsi="Times New Roman"/>
                <w:bCs/>
                <w:sz w:val="24"/>
                <w:szCs w:val="24"/>
              </w:rPr>
              <w:t>Сотрудничество с заказчиком</w:t>
            </w:r>
          </w:p>
        </w:tc>
        <w:tc>
          <w:tcPr>
            <w:cnfStyle w:val="000000100000"/>
            <w:tcW w:w="4992" w:type="dxa"/>
          </w:tcPr>
          <w:p w14:paraId="00000187">
            <w:pPr>
              <w:jc w:val="both"/>
              <w:rPr>
                <w:rFonts w:ascii="Times New Roman" w:cs="Times New Roman" w:hAnsi="Times New Roman"/>
                <w:bCs/>
                <w:sz w:val="24"/>
                <w:szCs w:val="24"/>
              </w:rPr>
            </w:pPr>
            <w:r>
              <w:rPr>
                <w:rFonts w:ascii="Times New Roman" w:cs="Times New Roman" w:hAnsi="Times New Roman"/>
                <w:bCs/>
                <w:sz w:val="24"/>
                <w:szCs w:val="24"/>
              </w:rPr>
              <w:t>Важнее согласования условий контракта</w:t>
            </w:r>
          </w:p>
        </w:tc>
      </w:tr>
      <w:tr>
        <w:trPr>
          <w:jc w:val="center"/>
        </w:trPr>
        <w:tc>
          <w:tcPr>
            <w:cnfStyle w:val="001000010000"/>
            <w:tcW w:w="4501" w:type="dxa"/>
          </w:tcPr>
          <w:p w14:paraId="00000188">
            <w:pPr>
              <w:jc w:val="both"/>
              <w:rPr>
                <w:rFonts w:ascii="Times New Roman" w:cs="Times New Roman" w:hAnsi="Times New Roman"/>
                <w:bCs/>
                <w:sz w:val="24"/>
                <w:szCs w:val="24"/>
              </w:rPr>
            </w:pPr>
            <w:r>
              <w:rPr>
                <w:rFonts w:ascii="Times New Roman" w:cs="Times New Roman" w:hAnsi="Times New Roman"/>
                <w:bCs/>
                <w:sz w:val="24"/>
                <w:szCs w:val="24"/>
              </w:rPr>
              <w:t>Готовность к изменениям</w:t>
            </w:r>
          </w:p>
        </w:tc>
        <w:tc>
          <w:tcPr>
            <w:cnfStyle w:val="000000010000"/>
            <w:tcW w:w="4992" w:type="dxa"/>
          </w:tcPr>
          <w:p w14:paraId="00000189">
            <w:pPr>
              <w:jc w:val="both"/>
              <w:rPr>
                <w:rFonts w:ascii="Times New Roman" w:cs="Times New Roman" w:hAnsi="Times New Roman"/>
                <w:bCs/>
                <w:sz w:val="24"/>
                <w:szCs w:val="24"/>
              </w:rPr>
            </w:pPr>
            <w:r>
              <w:rPr>
                <w:rFonts w:ascii="Times New Roman" w:cs="Times New Roman" w:hAnsi="Times New Roman"/>
                <w:bCs/>
                <w:sz w:val="24"/>
                <w:szCs w:val="24"/>
              </w:rPr>
              <w:t>Важнее следования первоначальному плану</w:t>
            </w:r>
          </w:p>
        </w:tc>
      </w:tr>
    </w:tbl>
    <w:p w14:paraId="0000018A">
      <w:pPr>
        <w:spacing w:beforeAutospacing="0" w:after="0" w:afterAutospacing="0" w:line="360" w:lineRule="auto"/>
        <w:ind w:firstLine="709"/>
        <w:jc w:val="both"/>
        <w:rPr>
          <w:rFonts w:ascii="Times New Roman" w:cs="Times New Roman" w:hAnsi="Times New Roman"/>
          <w:bCs/>
          <w:sz w:val="28"/>
          <w:szCs w:val="28"/>
        </w:rPr>
      </w:pPr>
    </w:p>
    <w:p w14:paraId="0000018B">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Данная методология ориентирована на быстрое создание ценности для заказчика и готовность к изменениям. Она противопоставляется </w:t>
      </w:r>
      <w:r>
        <w:rPr>
          <w:rFonts w:ascii="Times New Roman" w:cs="Times New Roman" w:hAnsi="Times New Roman"/>
          <w:bCs/>
          <w:sz w:val="28"/>
          <w:szCs w:val="28"/>
        </w:rPr>
        <w:t>классическим (waterfall) методам, где жёсткое следование первоначальному плану является приоритетом. Выбор между waterfall и agile зависит от характера проекта: для проектов с фиксированными требованиями и предсказуемой средой лучше подходят классические методы, для проектов с высокой неопределённостью – agile.</w:t>
      </w:r>
    </w:p>
    <w:p w14:paraId="0000018C">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В российской практике управления проектами наряду с международными стандартами действуют национальные стандарты. Ключевым из них является ГОСТ Р ИСО 21500-2014 «Руководство по проектному менеджменту», который гармонизирован с международным стандартом ISO 21500 [19]. Также действуют ГОСТ Р 54869-2011 «Проектный менеджмент. Требования к управлению проектом», ГОСТ Р 54870-2011 «Проектный менеджмент. Требования к управлению портфелем проектов» и ГОСТ Р 54871-2011 «Проектный менеджмент. Требования к управлению программой». Эти стандарты носят рекомендательный характер, но их соблюдение повышает качество управления проектом и облегчает взаимодействие с контролирующими органами [36, с. 6].</w:t>
      </w:r>
    </w:p>
    <w:p w14:paraId="0000018D">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Сравнительный анализ методических подходов позволяет сделать вывод об отсутствии единого универсального метода, одинаково эффективного для всех типов проектов. Выбор конкретного подхода зависит от множества факторов: масштаба и сложности проекта, его отраслевой принадлежности, требований заказчика и инвестора, а также от корпоративной культуры организации. В большинстве случаев наиболее рациональным является комбинированный подход, интегрирующий элементы различных методик. При этом важно сохранять непротиворечивость применяемых методов и инструментов [52, с. 17].</w:t>
      </w:r>
    </w:p>
    <w:p w14:paraId="0000018E">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Таким образом, проведённый анализ современных методических подходов к управлению проектами позволяет сделать следующие выводы. В мировой практике сложилось множество методик, стандартов и методологий, различающихся по фокусу, детализации и области применения. Методика UNIDO является наиболее системной для оценки инвестиционных проектов. </w:t>
      </w:r>
      <w:r>
        <w:rPr>
          <w:rFonts w:ascii="Times New Roman" w:cs="Times New Roman" w:hAnsi="Times New Roman"/>
          <w:bCs/>
          <w:sz w:val="28"/>
          <w:szCs w:val="28"/>
        </w:rPr>
        <w:t>Методика ЕБРР обязательна при привлечении кредитных ресурсов. Стандарт PMBOK описывает процессы управления проектом. Гибкие методологии (agile) эффективны в условиях высокой неопределённости. В российской практике применяются как международные, так и национальные стандарты. Комбинированный подход, учитывающий специфику конкретного проекта, является наиболее рациональным. Знание современных методических подходов необходимо для перехода к рассмотрению нормативно-правового регулирования проектной деятельности.</w:t>
      </w:r>
    </w:p>
    <w:p w14:paraId="0000018F">
      <w:pPr>
        <w:spacing w:beforeAutospacing="0" w:after="0" w:afterAutospacing="0" w:line="360" w:lineRule="auto"/>
        <w:ind w:firstLine="709"/>
        <w:jc w:val="both"/>
        <w:rPr>
          <w:rFonts w:ascii="Times New Roman" w:cs="Times New Roman" w:hAnsi="Times New Roman"/>
          <w:bCs/>
          <w:sz w:val="28"/>
          <w:szCs w:val="28"/>
        </w:rPr>
      </w:pPr>
    </w:p>
    <w:p w14:paraId="00000190">
      <w:pPr>
        <w:spacing w:beforeAutospacing="0" w:after="0" w:afterAutospacing="0" w:line="360" w:lineRule="auto"/>
        <w:ind w:firstLine="709"/>
        <w:jc w:val="both"/>
        <w:rPr>
          <w:rFonts w:ascii="Times New Roman" w:cs="Times New Roman" w:hAnsi="Times New Roman"/>
          <w:bCs/>
          <w:sz w:val="28"/>
          <w:szCs w:val="28"/>
        </w:rPr>
      </w:pPr>
    </w:p>
    <w:p w14:paraId="00000191">
      <w:pPr>
        <w:pStyle w:val="Heading1"/>
        <w:spacing w:before="0" w:beforeAutospacing="0" w:afterAutospacing="0" w:line="360" w:lineRule="auto"/>
        <w:ind w:firstLine="706"/>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1.3. Нормативно-правовое регулирование реализации проектов в РФ</w:t>
      </w:r>
    </w:p>
    <w:p w14:paraId="00000192">
      <w:pPr>
        <w:spacing w:beforeAutospacing="0" w:after="0" w:afterAutospacing="0" w:line="360" w:lineRule="auto"/>
        <w:ind w:firstLine="709"/>
        <w:jc w:val="both"/>
        <w:rPr>
          <w:rFonts w:ascii="Times New Roman" w:cs="Times New Roman" w:hAnsi="Times New Roman"/>
          <w:sz w:val="28"/>
          <w:szCs w:val="28"/>
        </w:rPr>
      </w:pPr>
    </w:p>
    <w:p w14:paraId="00000193">
      <w:pPr>
        <w:spacing w:beforeAutospacing="0" w:after="0" w:afterAutospacing="0" w:line="360" w:lineRule="auto"/>
        <w:ind w:firstLine="709"/>
        <w:jc w:val="both"/>
        <w:rPr>
          <w:rFonts w:ascii="Times New Roman" w:cs="Times New Roman" w:hAnsi="Times New Roman"/>
          <w:sz w:val="28"/>
          <w:szCs w:val="28"/>
        </w:rPr>
      </w:pPr>
    </w:p>
    <w:p w14:paraId="0000019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Реализация любого проекта на территории Российской Федерации осуществляется в рамках определённого нормативно-правового поля, </w:t>
      </w:r>
      <w:r>
        <w:rPr>
          <w:rFonts w:ascii="Times New Roman" w:cs="Times New Roman" w:hAnsi="Times New Roman"/>
          <w:sz w:val="28"/>
          <w:szCs w:val="28"/>
        </w:rPr>
        <w:t>которое устанавливает правила, ограничения и требования к участникам проекта, процедурам и результатам [1]. Нормативно-правовое регулирование проектной деятельности является многоуровневым и включает акты разной юридической силы – от кодексов и федеральных законов до постановлений Правительства РФ, ведомственных приказов и технических регламентов.</w:t>
      </w:r>
    </w:p>
    <w:p w14:paraId="0000019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Основополагающим актом в системе российского права является Конституция РФ, которая закрепляет основы экономической деятельности, права собственности, свободу предпринимательства. На основе конституционных норм принимаются кодексы и федеральные законы, регулирующие отдельные сферы деятельности. Для проектной деятельности наибольшее значение имеют Гражданский кодекс РФ, Градостроительный кодекс РФ, Земельный кодекс РФ, Налоговый кодекс РФ, а также ряд специализированных федеральных законов [2].</w:t>
      </w:r>
    </w:p>
    <w:p w14:paraId="0000019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Гражданский кодекс РФ (часть первая) определяет правовое положение юридических лиц, порядок создания, реорганизации и ликвидации предприятий, а также требования к уставному капиталу. Статьи 66–68 ГК РФ </w:t>
      </w:r>
      <w:r>
        <w:rPr>
          <w:rFonts w:ascii="Times New Roman" w:cs="Times New Roman" w:hAnsi="Times New Roman"/>
          <w:sz w:val="28"/>
          <w:szCs w:val="28"/>
        </w:rPr>
        <w:t>регулируют создание хозяйственных обществ, которые являются наиболее распространённой формой организации для реализации инвестиционных проектов. В зависимости от масштаба и характера проекта могут использоваться различные организационно-правовые формы: общество с ограниченной ответственностью (ООО), акционерное общество (АО), хозяйственное партнёрство [2].</w:t>
      </w:r>
    </w:p>
    <w:p w14:paraId="0000019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Налоговый кодекс РФ (часть вторая) регламентирует выбор системы налогообложения. Для проектов, реализуемых вновь создаваемыми предприятиями, часто применяется упрощённая система налогообложения (УСН) с объектом «доходы минус расходы» (ставка 15%) при соблюдении установленных лимитов по доходам и численности персонала. Для крупных проектов, как правило, требуется общая система налогообложения (ОСНО) с уплатой налога на добавленную стоимость (НДС) и налога на прибыль организаций [3].</w:t>
      </w:r>
    </w:p>
    <w:p w14:paraId="0000019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Земельный кодекс РФ устанавливает, что для размещения объекта капитального строительства необходим земельный участок соответствующей категории. Для промышленных проектов, как правило, требуются участки категории «земли промышленности» с видом разрешённого использования «производственная деятельность» или «строительство». Перевод участка из одной категории в другую осуществляется в соответствии с законодательством и может занимать до шести месяцев [4].</w:t>
      </w:r>
    </w:p>
    <w:p w14:paraId="0000019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Градостроительный кодекс РФ регулирует вопросы планировки территории, архитектурно-строительного проектирования, строительства и реконструкции объектов капитального строительства. В соответствии с Кодексом, строительство объектов требует получения разрешения на строительство (для капитальных объектов) или уведомления (для некоторых типов объектов). Ввод объекта в эксплуатацию оформляется актом Госстройнадзора, подтверждающим соответствие построенного объекта проектной документации [5].</w:t>
      </w:r>
    </w:p>
    <w:p w14:paraId="0000019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Федеральный закон от 28.06.2014 № 172-ФЗ «О стратегическом планировании в Российской Федерации» устанавливает правовые основы государственного стратегического управления. Документами стратегического планирования определяются долгосрочные цели и приоритеты социально-экономического развития, в рамках которых формируются национальные проекты и государственные программы. Для инициаторов проектов этот закон важен тем, что определяет приоритетные направления развития, на которые государство готово предоставлять меры поддержки [8].</w:t>
      </w:r>
    </w:p>
    <w:p w14:paraId="0000019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Федеральный закон от 13.07.2015 № 224-ФЗ «О государственно-частном партнёрстве, муниципально-частном партнёрстве в Российской Федерации…» создаёт правовые условия для привлечения частных инвестиций в создание и развитие инфраструктурных объектов. Соглашения о ГЧП могут заключаться на срок до 50 лет и предусматривают разделение рисков и обязательств между государством и бизнесом. Данный механизм особенно актуален для крупных инфраструктурных проектов, а также для проектов в социальной сфере [9]. Его </w:t>
      </w:r>
      <w:r>
        <w:rPr>
          <w:rFonts w:ascii="Times New Roman" w:cs="Times New Roman" w:hAnsi="Times New Roman"/>
          <w:sz w:val="28"/>
          <w:szCs w:val="28"/>
        </w:rPr>
        <w:t>грамотное</w:t>
      </w:r>
      <w:r>
        <w:rPr>
          <w:rFonts w:ascii="Times New Roman" w:cs="Times New Roman" w:hAnsi="Times New Roman"/>
          <w:sz w:val="28"/>
          <w:szCs w:val="28"/>
        </w:rPr>
        <w:t xml:space="preserve"> применение позволяет снизить нагрузку на бюджет и ускорить реализацию значимых проектов.</w:t>
      </w:r>
    </w:p>
    <w:p w14:paraId="0000019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Федеральный закон от 21.07.2005 № 115-ФЗ «О концессионных соглашениях» является ещё одним инструментом привлечения частных инвестиций. Концессионное соглашение предполагает, что частный партнёр за свой счёт создаёт или реконструирует объект недвижимости, право собственности на которое принадлежит публичному партнёру (государству или муниципалитету), и эксплуатирует его в течение установленного срока. В 2025 году в закон были внесены изменения, направленные на повышение прозрачности концессионных процедур [10]. Концессионная модель способствует эффективному использованию публичной инфраструктуры.</w:t>
      </w:r>
    </w:p>
    <w:p w14:paraId="0000019D">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sz w:val="28"/>
          <w:szCs w:val="28"/>
        </w:rPr>
        <w:t>В таблице 1.8 представлены основные нормативно-правовые акты, регулирующие реализацию проектов в РФ</w:t>
      </w:r>
      <w:r>
        <w:rPr>
          <w:rFonts w:ascii="Times New Roman" w:cs="Times New Roman" w:hAnsi="Times New Roman"/>
          <w:bCs/>
          <w:sz w:val="28"/>
          <w:szCs w:val="28"/>
        </w:rPr>
        <w:t>.</w:t>
      </w:r>
    </w:p>
    <w:tbl>
      <w:tblPr>
        <w:tblStyle w:val="TableGrid"/>
        <w:tblpPr w:leftFromText="187" w:rightFromText="187" w:topFromText="0" w:bottomFromText="0" w:vertAnchor="page" w:horzAnchor="page" w:tblpX="1751" w:tblpY="8850"/>
        <w:tblOverlap w:val="never"/>
        <w:tblW w:w="9517" w:type="dxa"/>
        <w:tblLook w:val="04A0"/>
      </w:tblPr>
      <w:tblGrid>
        <w:gridCol w:w="474"/>
        <w:gridCol w:w="4306"/>
        <w:gridCol w:w="4735"/>
      </w:tblGrid>
      <w:tr>
        <w:trPr>
          <w:trHeight w:val="300"/>
        </w:trPr>
        <w:tc>
          <w:tcPr>
            <w:cnfStyle w:val="101000000000"/>
            <w:tcW w:w="466" w:type="dxa"/>
          </w:tcPr>
          <w:p w14:paraId="0000019E">
            <w:pPr>
              <w:jc w:val="center"/>
              <w:rPr>
                <w:rFonts w:ascii="Times New Roman" w:cs="Times New Roman" w:hAnsi="Times New Roman"/>
                <w:sz w:val="28"/>
                <w:szCs w:val="28"/>
              </w:rPr>
            </w:pPr>
            <w:r>
              <w:rPr>
                <w:rFonts w:ascii="Times New Roman" w:cs="Times New Roman" w:hAnsi="Times New Roman"/>
                <w:sz w:val="24"/>
                <w:szCs w:val="24"/>
              </w:rPr>
              <w:t>№</w:t>
            </w:r>
          </w:p>
        </w:tc>
        <w:tc>
          <w:tcPr>
            <w:cnfStyle w:val="100000000000"/>
            <w:tcW w:w="4229" w:type="dxa"/>
          </w:tcPr>
          <w:p w14:paraId="0000019F">
            <w:pPr>
              <w:jc w:val="center"/>
              <w:rPr>
                <w:rFonts w:ascii="Times New Roman" w:cs="Times New Roman" w:hAnsi="Times New Roman"/>
                <w:sz w:val="28"/>
                <w:szCs w:val="28"/>
              </w:rPr>
            </w:pPr>
            <w:r>
              <w:rPr>
                <w:rFonts w:ascii="Times New Roman" w:cs="Times New Roman" w:hAnsi="Times New Roman"/>
                <w:sz w:val="24"/>
                <w:szCs w:val="24"/>
              </w:rPr>
              <w:t>Наименование акта</w:t>
            </w:r>
          </w:p>
        </w:tc>
        <w:tc>
          <w:tcPr>
            <w:cnfStyle w:val="100000000000"/>
            <w:tcW w:w="4650" w:type="dxa"/>
          </w:tcPr>
          <w:p w14:paraId="000001A0">
            <w:pPr>
              <w:jc w:val="center"/>
              <w:rPr>
                <w:rFonts w:ascii="Times New Roman" w:cs="Times New Roman" w:hAnsi="Times New Roman"/>
                <w:sz w:val="28"/>
                <w:szCs w:val="28"/>
              </w:rPr>
            </w:pPr>
            <w:r>
              <w:rPr>
                <w:rFonts w:ascii="Times New Roman" w:cs="Times New Roman" w:hAnsi="Times New Roman"/>
                <w:sz w:val="24"/>
                <w:szCs w:val="24"/>
              </w:rPr>
              <w:t>Основная сфера регулирования</w:t>
            </w:r>
          </w:p>
        </w:tc>
      </w:tr>
      <w:tr>
        <w:trPr>
          <w:trHeight w:val="304"/>
        </w:trPr>
        <w:tc>
          <w:tcPr>
            <w:cnfStyle w:val="001000100000"/>
            <w:tcW w:w="466" w:type="dxa"/>
          </w:tcPr>
          <w:p w14:paraId="000001A1">
            <w:pPr>
              <w:jc w:val="both"/>
              <w:rPr>
                <w:rFonts w:ascii="Times New Roman" w:cs="Times New Roman" w:hAnsi="Times New Roman"/>
                <w:sz w:val="28"/>
                <w:szCs w:val="28"/>
              </w:rPr>
            </w:pPr>
            <w:r>
              <w:rPr>
                <w:rFonts w:ascii="Times New Roman" w:cs="Times New Roman" w:hAnsi="Times New Roman"/>
                <w:sz w:val="24"/>
                <w:szCs w:val="24"/>
              </w:rPr>
              <w:t>1</w:t>
            </w:r>
          </w:p>
        </w:tc>
        <w:tc>
          <w:tcPr>
            <w:cnfStyle w:val="000000100000"/>
            <w:tcW w:w="4229" w:type="dxa"/>
          </w:tcPr>
          <w:p w14:paraId="000001A2">
            <w:pPr>
              <w:jc w:val="both"/>
              <w:rPr>
                <w:rFonts w:ascii="Times New Roman" w:cs="Times New Roman" w:hAnsi="Times New Roman"/>
                <w:sz w:val="28"/>
                <w:szCs w:val="28"/>
              </w:rPr>
            </w:pPr>
            <w:r>
              <w:rPr>
                <w:rFonts w:ascii="Times New Roman" w:cs="Times New Roman" w:hAnsi="Times New Roman"/>
                <w:sz w:val="24"/>
                <w:szCs w:val="24"/>
              </w:rPr>
              <w:t>Гражданский кодекс РФ (часть первая)</w:t>
            </w:r>
          </w:p>
        </w:tc>
        <w:tc>
          <w:tcPr>
            <w:cnfStyle w:val="000000100000"/>
            <w:tcW w:w="4650" w:type="dxa"/>
          </w:tcPr>
          <w:p w14:paraId="000001A3">
            <w:pPr>
              <w:jc w:val="both"/>
              <w:rPr>
                <w:rFonts w:ascii="Times New Roman" w:cs="Times New Roman" w:hAnsi="Times New Roman"/>
                <w:sz w:val="28"/>
                <w:szCs w:val="28"/>
              </w:rPr>
            </w:pPr>
            <w:r>
              <w:rPr>
                <w:rFonts w:ascii="Times New Roman" w:cs="Times New Roman" w:hAnsi="Times New Roman"/>
                <w:sz w:val="24"/>
                <w:szCs w:val="24"/>
              </w:rPr>
              <w:t>Правовое положение юридических лиц</w:t>
            </w:r>
          </w:p>
        </w:tc>
      </w:tr>
      <w:tr>
        <w:trPr>
          <w:trHeight w:val="303"/>
        </w:trPr>
        <w:tc>
          <w:tcPr>
            <w:cnfStyle w:val="001000010000"/>
            <w:tcW w:w="466" w:type="dxa"/>
          </w:tcPr>
          <w:p w14:paraId="000001A4">
            <w:pPr>
              <w:jc w:val="both"/>
              <w:rPr>
                <w:rFonts w:ascii="Times New Roman" w:cs="Times New Roman" w:hAnsi="Times New Roman"/>
                <w:sz w:val="28"/>
                <w:szCs w:val="28"/>
              </w:rPr>
            </w:pPr>
            <w:r>
              <w:rPr>
                <w:rFonts w:ascii="Times New Roman" w:cs="Times New Roman" w:hAnsi="Times New Roman"/>
                <w:sz w:val="24"/>
                <w:szCs w:val="24"/>
              </w:rPr>
              <w:t>2</w:t>
            </w:r>
          </w:p>
        </w:tc>
        <w:tc>
          <w:tcPr>
            <w:cnfStyle w:val="000000010000"/>
            <w:tcW w:w="4229" w:type="dxa"/>
          </w:tcPr>
          <w:p w14:paraId="000001A5">
            <w:pPr>
              <w:jc w:val="both"/>
              <w:rPr>
                <w:rFonts w:ascii="Times New Roman" w:cs="Times New Roman" w:hAnsi="Times New Roman"/>
                <w:sz w:val="28"/>
                <w:szCs w:val="28"/>
              </w:rPr>
            </w:pPr>
            <w:r>
              <w:rPr>
                <w:rFonts w:ascii="Times New Roman" w:cs="Times New Roman" w:hAnsi="Times New Roman"/>
                <w:sz w:val="24"/>
                <w:szCs w:val="24"/>
              </w:rPr>
              <w:t>Налоговый кодекс РФ (часть вторая)</w:t>
            </w:r>
          </w:p>
        </w:tc>
        <w:tc>
          <w:tcPr>
            <w:cnfStyle w:val="000000010000"/>
            <w:tcW w:w="4650" w:type="dxa"/>
          </w:tcPr>
          <w:p w14:paraId="000001A6">
            <w:pPr>
              <w:jc w:val="both"/>
              <w:rPr>
                <w:rFonts w:ascii="Times New Roman" w:cs="Times New Roman" w:hAnsi="Times New Roman"/>
                <w:sz w:val="28"/>
                <w:szCs w:val="28"/>
              </w:rPr>
            </w:pPr>
            <w:r>
              <w:rPr>
                <w:rFonts w:ascii="Times New Roman" w:cs="Times New Roman" w:hAnsi="Times New Roman"/>
                <w:sz w:val="24"/>
                <w:szCs w:val="24"/>
              </w:rPr>
              <w:t>Системы налогообложения</w:t>
            </w:r>
          </w:p>
        </w:tc>
      </w:tr>
      <w:tr>
        <w:trPr>
          <w:trHeight w:val="305"/>
        </w:trPr>
        <w:tc>
          <w:tcPr>
            <w:cnfStyle w:val="001000100000"/>
            <w:tcW w:w="466" w:type="dxa"/>
          </w:tcPr>
          <w:p w14:paraId="000001A7">
            <w:pPr>
              <w:jc w:val="both"/>
              <w:rPr>
                <w:rFonts w:ascii="Times New Roman" w:cs="Times New Roman" w:hAnsi="Times New Roman"/>
                <w:sz w:val="28"/>
                <w:szCs w:val="28"/>
              </w:rPr>
            </w:pPr>
            <w:r>
              <w:rPr>
                <w:rFonts w:ascii="Times New Roman" w:cs="Times New Roman" w:hAnsi="Times New Roman"/>
                <w:sz w:val="24"/>
                <w:szCs w:val="24"/>
              </w:rPr>
              <w:t>3</w:t>
            </w:r>
          </w:p>
        </w:tc>
        <w:tc>
          <w:tcPr>
            <w:cnfStyle w:val="000000100000"/>
            <w:tcW w:w="4229" w:type="dxa"/>
          </w:tcPr>
          <w:p w14:paraId="000001A8">
            <w:pPr>
              <w:jc w:val="both"/>
              <w:rPr>
                <w:rFonts w:ascii="Times New Roman" w:cs="Times New Roman" w:hAnsi="Times New Roman"/>
                <w:sz w:val="28"/>
                <w:szCs w:val="28"/>
              </w:rPr>
            </w:pPr>
            <w:r>
              <w:rPr>
                <w:rFonts w:ascii="Times New Roman" w:cs="Times New Roman" w:hAnsi="Times New Roman"/>
                <w:sz w:val="24"/>
                <w:szCs w:val="24"/>
              </w:rPr>
              <w:t>Земельный кодекс РФ</w:t>
            </w:r>
          </w:p>
        </w:tc>
        <w:tc>
          <w:tcPr>
            <w:cnfStyle w:val="000000100000"/>
            <w:tcW w:w="4650" w:type="dxa"/>
          </w:tcPr>
          <w:p w14:paraId="000001A9">
            <w:pPr>
              <w:jc w:val="both"/>
              <w:rPr>
                <w:rFonts w:ascii="Times New Roman" w:cs="Times New Roman" w:hAnsi="Times New Roman"/>
                <w:sz w:val="28"/>
                <w:szCs w:val="28"/>
              </w:rPr>
            </w:pPr>
            <w:r>
              <w:rPr>
                <w:rFonts w:ascii="Times New Roman" w:cs="Times New Roman" w:hAnsi="Times New Roman"/>
                <w:sz w:val="24"/>
                <w:szCs w:val="24"/>
              </w:rPr>
              <w:t>Предоставление земельных участков</w:t>
            </w:r>
          </w:p>
        </w:tc>
      </w:tr>
      <w:tr>
        <w:trPr>
          <w:trHeight w:val="303"/>
        </w:trPr>
        <w:tc>
          <w:tcPr>
            <w:cnfStyle w:val="001000010000"/>
            <w:tcW w:w="466" w:type="dxa"/>
          </w:tcPr>
          <w:p w14:paraId="000001AA">
            <w:pPr>
              <w:jc w:val="both"/>
              <w:rPr>
                <w:rFonts w:ascii="Times New Roman" w:cs="Times New Roman" w:hAnsi="Times New Roman"/>
                <w:sz w:val="28"/>
                <w:szCs w:val="28"/>
              </w:rPr>
            </w:pPr>
            <w:r>
              <w:rPr>
                <w:rFonts w:ascii="Times New Roman" w:cs="Times New Roman" w:hAnsi="Times New Roman"/>
                <w:sz w:val="24"/>
                <w:szCs w:val="24"/>
              </w:rPr>
              <w:t>4</w:t>
            </w:r>
          </w:p>
        </w:tc>
        <w:tc>
          <w:tcPr>
            <w:cnfStyle w:val="000000010000"/>
            <w:tcW w:w="4229" w:type="dxa"/>
          </w:tcPr>
          <w:p w14:paraId="000001AB">
            <w:pPr>
              <w:jc w:val="both"/>
              <w:rPr>
                <w:rFonts w:ascii="Times New Roman" w:cs="Times New Roman" w:hAnsi="Times New Roman"/>
                <w:sz w:val="28"/>
                <w:szCs w:val="28"/>
              </w:rPr>
            </w:pPr>
            <w:r>
              <w:rPr>
                <w:rFonts w:ascii="Times New Roman" w:cs="Times New Roman" w:hAnsi="Times New Roman"/>
                <w:sz w:val="24"/>
                <w:szCs w:val="24"/>
              </w:rPr>
              <w:t>Градостроительный кодекс РФ</w:t>
            </w:r>
          </w:p>
        </w:tc>
        <w:tc>
          <w:tcPr>
            <w:cnfStyle w:val="000000010000"/>
            <w:tcW w:w="4650" w:type="dxa"/>
          </w:tcPr>
          <w:p w14:paraId="000001AC">
            <w:pPr>
              <w:jc w:val="both"/>
              <w:rPr>
                <w:rFonts w:ascii="Times New Roman" w:cs="Times New Roman" w:hAnsi="Times New Roman"/>
                <w:sz w:val="28"/>
                <w:szCs w:val="28"/>
              </w:rPr>
            </w:pPr>
            <w:r>
              <w:rPr>
                <w:rFonts w:ascii="Times New Roman" w:cs="Times New Roman" w:hAnsi="Times New Roman"/>
                <w:sz w:val="24"/>
                <w:szCs w:val="24"/>
              </w:rPr>
              <w:t>Строительство и реконструкция объектов</w:t>
            </w:r>
          </w:p>
        </w:tc>
      </w:tr>
      <w:tr>
        <w:trPr>
          <w:trHeight w:val="295"/>
        </w:trPr>
        <w:tc>
          <w:tcPr>
            <w:cnfStyle w:val="001000100000"/>
            <w:tcW w:w="466" w:type="dxa"/>
          </w:tcPr>
          <w:p w14:paraId="000001AD">
            <w:pPr>
              <w:jc w:val="both"/>
              <w:rPr>
                <w:rFonts w:ascii="Times New Roman" w:cs="Times New Roman" w:hAnsi="Times New Roman"/>
                <w:sz w:val="28"/>
                <w:szCs w:val="28"/>
              </w:rPr>
            </w:pPr>
            <w:r>
              <w:rPr>
                <w:rFonts w:ascii="Times New Roman" w:cs="Times New Roman" w:hAnsi="Times New Roman"/>
                <w:sz w:val="24"/>
                <w:szCs w:val="24"/>
              </w:rPr>
              <w:t>5</w:t>
            </w:r>
          </w:p>
        </w:tc>
        <w:tc>
          <w:tcPr>
            <w:cnfStyle w:val="000000100000"/>
            <w:tcW w:w="4229" w:type="dxa"/>
          </w:tcPr>
          <w:p w14:paraId="000001AE">
            <w:pPr>
              <w:jc w:val="both"/>
              <w:rPr>
                <w:rFonts w:ascii="Times New Roman" w:cs="Times New Roman" w:hAnsi="Times New Roman"/>
                <w:sz w:val="28"/>
                <w:szCs w:val="28"/>
              </w:rPr>
            </w:pPr>
            <w:r>
              <w:rPr>
                <w:rFonts w:ascii="Times New Roman" w:cs="Times New Roman" w:hAnsi="Times New Roman"/>
                <w:sz w:val="24"/>
                <w:szCs w:val="24"/>
              </w:rPr>
              <w:t>ФЗ № 172-ФЗ от 28.06.2014</w:t>
            </w:r>
          </w:p>
        </w:tc>
        <w:tc>
          <w:tcPr>
            <w:cnfStyle w:val="000000100000"/>
            <w:tcW w:w="4650" w:type="dxa"/>
          </w:tcPr>
          <w:p w14:paraId="000001AF">
            <w:pPr>
              <w:jc w:val="both"/>
              <w:rPr>
                <w:rFonts w:ascii="Times New Roman" w:cs="Times New Roman" w:hAnsi="Times New Roman"/>
                <w:sz w:val="28"/>
                <w:szCs w:val="28"/>
              </w:rPr>
            </w:pPr>
            <w:r>
              <w:rPr>
                <w:rFonts w:ascii="Times New Roman" w:cs="Times New Roman" w:hAnsi="Times New Roman"/>
                <w:sz w:val="24"/>
                <w:szCs w:val="24"/>
              </w:rPr>
              <w:t>Стратегическое планирование</w:t>
            </w:r>
          </w:p>
        </w:tc>
      </w:tr>
      <w:tr>
        <w:trPr>
          <w:trHeight w:val="316"/>
        </w:trPr>
        <w:tc>
          <w:tcPr>
            <w:cnfStyle w:val="001000010000"/>
            <w:tcW w:w="466" w:type="dxa"/>
          </w:tcPr>
          <w:p w14:paraId="000001B0">
            <w:pPr>
              <w:jc w:val="both"/>
              <w:rPr>
                <w:rFonts w:ascii="Times New Roman" w:cs="Times New Roman" w:hAnsi="Times New Roman"/>
                <w:sz w:val="28"/>
                <w:szCs w:val="28"/>
              </w:rPr>
            </w:pPr>
            <w:r>
              <w:rPr>
                <w:rFonts w:ascii="Times New Roman" w:cs="Times New Roman" w:hAnsi="Times New Roman"/>
                <w:sz w:val="24"/>
                <w:szCs w:val="24"/>
              </w:rPr>
              <w:t>6</w:t>
            </w:r>
          </w:p>
        </w:tc>
        <w:tc>
          <w:tcPr>
            <w:cnfStyle w:val="000000010000"/>
            <w:tcW w:w="4229" w:type="dxa"/>
          </w:tcPr>
          <w:p w14:paraId="000001B1">
            <w:pPr>
              <w:jc w:val="both"/>
              <w:rPr>
                <w:rFonts w:ascii="Times New Roman" w:cs="Times New Roman" w:hAnsi="Times New Roman"/>
                <w:sz w:val="28"/>
                <w:szCs w:val="28"/>
              </w:rPr>
            </w:pPr>
            <w:r>
              <w:rPr>
                <w:rFonts w:ascii="Times New Roman" w:cs="Times New Roman" w:hAnsi="Times New Roman"/>
                <w:sz w:val="24"/>
                <w:szCs w:val="24"/>
              </w:rPr>
              <w:t>ФЗ № 224-ФЗ от 13.07.2015</w:t>
            </w:r>
          </w:p>
        </w:tc>
        <w:tc>
          <w:tcPr>
            <w:cnfStyle w:val="000000010000"/>
            <w:tcW w:w="4650" w:type="dxa"/>
          </w:tcPr>
          <w:p w14:paraId="000001B2">
            <w:pPr>
              <w:jc w:val="both"/>
              <w:rPr>
                <w:rFonts w:ascii="Times New Roman" w:cs="Times New Roman" w:hAnsi="Times New Roman"/>
                <w:sz w:val="28"/>
                <w:szCs w:val="28"/>
              </w:rPr>
            </w:pPr>
            <w:r>
              <w:rPr>
                <w:rFonts w:ascii="Times New Roman" w:cs="Times New Roman" w:hAnsi="Times New Roman"/>
                <w:sz w:val="24"/>
                <w:szCs w:val="24"/>
              </w:rPr>
              <w:t>Государственно-частное партнёрство</w:t>
            </w:r>
          </w:p>
        </w:tc>
      </w:tr>
      <w:tr>
        <w:trPr>
          <w:trHeight w:val="295"/>
        </w:trPr>
        <w:tc>
          <w:tcPr>
            <w:cnfStyle w:val="001000100000"/>
            <w:tcW w:w="466" w:type="dxa"/>
          </w:tcPr>
          <w:p w14:paraId="000001B3">
            <w:pPr>
              <w:jc w:val="both"/>
              <w:rPr>
                <w:rFonts w:ascii="Times New Roman" w:cs="Times New Roman" w:hAnsi="Times New Roman"/>
                <w:sz w:val="28"/>
                <w:szCs w:val="28"/>
              </w:rPr>
            </w:pPr>
            <w:r>
              <w:rPr>
                <w:rFonts w:ascii="Times New Roman" w:cs="Times New Roman" w:hAnsi="Times New Roman"/>
                <w:sz w:val="24"/>
                <w:szCs w:val="24"/>
              </w:rPr>
              <w:t>7</w:t>
            </w:r>
          </w:p>
        </w:tc>
        <w:tc>
          <w:tcPr>
            <w:cnfStyle w:val="000000100000"/>
            <w:tcW w:w="4229" w:type="dxa"/>
          </w:tcPr>
          <w:p w14:paraId="000001B4">
            <w:pPr>
              <w:jc w:val="both"/>
              <w:rPr>
                <w:rFonts w:ascii="Times New Roman" w:cs="Times New Roman" w:hAnsi="Times New Roman"/>
                <w:sz w:val="28"/>
                <w:szCs w:val="28"/>
              </w:rPr>
            </w:pPr>
            <w:r>
              <w:rPr>
                <w:rFonts w:ascii="Times New Roman" w:cs="Times New Roman" w:hAnsi="Times New Roman"/>
                <w:sz w:val="24"/>
                <w:szCs w:val="24"/>
              </w:rPr>
              <w:t>ФЗ № 115-ФЗ от 21.07.2005</w:t>
            </w:r>
          </w:p>
        </w:tc>
        <w:tc>
          <w:tcPr>
            <w:cnfStyle w:val="000000100000"/>
            <w:tcW w:w="4650" w:type="dxa"/>
          </w:tcPr>
          <w:p w14:paraId="000001B5">
            <w:pPr>
              <w:jc w:val="both"/>
              <w:rPr>
                <w:rFonts w:ascii="Times New Roman" w:cs="Times New Roman" w:hAnsi="Times New Roman"/>
                <w:sz w:val="28"/>
                <w:szCs w:val="28"/>
              </w:rPr>
            </w:pPr>
            <w:r>
              <w:rPr>
                <w:rFonts w:ascii="Times New Roman" w:cs="Times New Roman" w:hAnsi="Times New Roman"/>
                <w:sz w:val="24"/>
                <w:szCs w:val="24"/>
              </w:rPr>
              <w:t>Концессионные соглашения</w:t>
            </w:r>
          </w:p>
        </w:tc>
      </w:tr>
      <w:tr>
        <w:trPr>
          <w:trHeight w:val="315"/>
        </w:trPr>
        <w:tc>
          <w:tcPr>
            <w:cnfStyle w:val="001000010000"/>
            <w:tcW w:w="466" w:type="dxa"/>
          </w:tcPr>
          <w:p w14:paraId="000001B6">
            <w:pPr>
              <w:jc w:val="both"/>
              <w:rPr>
                <w:rFonts w:ascii="Times New Roman" w:cs="Times New Roman" w:hAnsi="Times New Roman"/>
                <w:sz w:val="28"/>
                <w:szCs w:val="28"/>
              </w:rPr>
            </w:pPr>
            <w:r>
              <w:rPr>
                <w:rFonts w:ascii="Times New Roman" w:cs="Times New Roman" w:hAnsi="Times New Roman"/>
                <w:sz w:val="24"/>
                <w:szCs w:val="24"/>
              </w:rPr>
              <w:t>8</w:t>
            </w:r>
          </w:p>
        </w:tc>
        <w:tc>
          <w:tcPr>
            <w:cnfStyle w:val="000000010000"/>
            <w:tcW w:w="4229" w:type="dxa"/>
          </w:tcPr>
          <w:p w14:paraId="000001B7">
            <w:pPr>
              <w:jc w:val="both"/>
              <w:rPr>
                <w:rFonts w:ascii="Times New Roman" w:cs="Times New Roman" w:hAnsi="Times New Roman"/>
                <w:sz w:val="28"/>
                <w:szCs w:val="28"/>
              </w:rPr>
            </w:pPr>
            <w:r>
              <w:rPr>
                <w:rFonts w:ascii="Times New Roman" w:cs="Times New Roman" w:hAnsi="Times New Roman"/>
                <w:sz w:val="24"/>
                <w:szCs w:val="24"/>
              </w:rPr>
              <w:t>ФЗ № 69-ФЗ от 01.04.2020</w:t>
            </w:r>
          </w:p>
        </w:tc>
        <w:tc>
          <w:tcPr>
            <w:cnfStyle w:val="000000010000"/>
            <w:tcW w:w="4650" w:type="dxa"/>
          </w:tcPr>
          <w:p w14:paraId="000001B8">
            <w:pPr>
              <w:jc w:val="both"/>
              <w:rPr>
                <w:rFonts w:ascii="Times New Roman" w:cs="Times New Roman" w:hAnsi="Times New Roman"/>
                <w:sz w:val="28"/>
                <w:szCs w:val="28"/>
              </w:rPr>
            </w:pPr>
            <w:r>
              <w:rPr>
                <w:rFonts w:ascii="Times New Roman" w:cs="Times New Roman" w:hAnsi="Times New Roman"/>
                <w:sz w:val="24"/>
                <w:szCs w:val="24"/>
              </w:rPr>
              <w:t>Защита и поощрение капиталовложений</w:t>
            </w:r>
          </w:p>
        </w:tc>
      </w:tr>
      <w:tr>
        <w:trPr>
          <w:trHeight w:val="632"/>
        </w:trPr>
        <w:tc>
          <w:tcPr>
            <w:cnfStyle w:val="001000100000"/>
            <w:tcW w:w="466" w:type="dxa"/>
          </w:tcPr>
          <w:p w14:paraId="000001B9">
            <w:pPr>
              <w:jc w:val="both"/>
              <w:rPr>
                <w:rFonts w:ascii="Times New Roman" w:cs="Times New Roman" w:hAnsi="Times New Roman"/>
                <w:sz w:val="28"/>
                <w:szCs w:val="28"/>
              </w:rPr>
            </w:pPr>
            <w:r>
              <w:rPr>
                <w:rFonts w:ascii="Times New Roman" w:cs="Times New Roman" w:hAnsi="Times New Roman"/>
                <w:sz w:val="24"/>
                <w:szCs w:val="24"/>
              </w:rPr>
              <w:t>9</w:t>
            </w:r>
          </w:p>
        </w:tc>
        <w:tc>
          <w:tcPr>
            <w:cnfStyle w:val="000000100000"/>
            <w:tcW w:w="4229" w:type="dxa"/>
          </w:tcPr>
          <w:p w14:paraId="000001BA">
            <w:pPr>
              <w:jc w:val="both"/>
              <w:rPr>
                <w:rFonts w:ascii="Times New Roman" w:cs="Times New Roman" w:hAnsi="Times New Roman"/>
                <w:sz w:val="28"/>
                <w:szCs w:val="28"/>
              </w:rPr>
            </w:pPr>
            <w:r>
              <w:rPr>
                <w:rFonts w:ascii="Times New Roman" w:cs="Times New Roman" w:hAnsi="Times New Roman"/>
                <w:sz w:val="24"/>
                <w:szCs w:val="24"/>
              </w:rPr>
              <w:t>Постановление № 1288 от 31.10.2018</w:t>
            </w:r>
          </w:p>
        </w:tc>
        <w:tc>
          <w:tcPr>
            <w:cnfStyle w:val="000000100000"/>
            <w:tcW w:w="4650" w:type="dxa"/>
          </w:tcPr>
          <w:p w14:paraId="000001BB">
            <w:pPr>
              <w:jc w:val="both"/>
              <w:rPr>
                <w:rFonts w:ascii="Times New Roman" w:cs="Times New Roman" w:hAnsi="Times New Roman"/>
                <w:sz w:val="28"/>
                <w:szCs w:val="28"/>
              </w:rPr>
            </w:pPr>
            <w:r>
              <w:rPr>
                <w:rFonts w:ascii="Times New Roman" w:cs="Times New Roman" w:hAnsi="Times New Roman"/>
                <w:sz w:val="24"/>
                <w:szCs w:val="24"/>
              </w:rPr>
              <w:t>Организация проектной деятельности в Правительстве РФ</w:t>
            </w:r>
          </w:p>
        </w:tc>
      </w:tr>
    </w:tbl>
    <w:p w14:paraId="000001BC">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 xml:space="preserve">Таблица 1.8 – Ключевые нормативно-правовые акты для реализации                </w:t>
      </w:r>
    </w:p>
    <w:p w14:paraId="000001BD">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sz w:val="28"/>
          <w:szCs w:val="28"/>
        </w:rPr>
        <w:t xml:space="preserve">  </w:t>
      </w:r>
    </w:p>
    <w:p w14:paraId="000001BE">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sz w:val="28"/>
          <w:szCs w:val="28"/>
        </w:rPr>
        <w:t xml:space="preserve">  Нормативно-правовая база реализации проектов в РФ является многоуровневой и включает как кодифицированные акты, так и специализированные федеральные законы и подзаконы. Для успешной реализации проекта необходимо учитывать требования и изменения всех актов, относящихся к сфере деятельности. </w:t>
      </w:r>
    </w:p>
    <w:p w14:paraId="000001BF">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sz w:val="28"/>
          <w:szCs w:val="28"/>
        </w:rPr>
        <w:t xml:space="preserve">    Федеральный закон от 01.04.2020 № 69-ФЗ «О защите и поощрении капиталовложений в Российской Федерации» (СЗПК) предоставляет инвестору возможность зафиксировать на длительный срок (до 20 лет) условия ведения бизнеса, включая налоговые ставки и требования к применению технических регламентов. В 2025 году в этот закон были внесены изменения (Федеральный закон от 04.11.2025 № 413-ФЗ), которые, в частности, предоставили инвестору право выбора между субсидией на возмещение затрат на создание инфраструктуры и налоговым вычетом. Механизм СЗПК является одним из наиболее действенных инструментов государственной поддержки крупных инвестиционных проектов [11].</w:t>
      </w:r>
    </w:p>
    <w:p w14:paraId="000001C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Организация проектной деятельности в органах государственной власти регулируется Постановлением Правительства РФ от 31.10.2018 № 1288 «Об организации проектной деятельности в Правительстве Российской </w:t>
      </w:r>
      <w:r>
        <w:rPr>
          <w:rFonts w:ascii="Times New Roman" w:cs="Times New Roman" w:hAnsi="Times New Roman"/>
          <w:sz w:val="28"/>
          <w:szCs w:val="28"/>
        </w:rPr>
        <w:t>Федерации». Документ устанавливает иерархию проектов (национальные, федеральные, ведомственные, региональные) и определяет порядок работы с ними. В 2025 году в это постановление были внесены изменения (Постановление Правительства РФ от 21.02.2025 № 194), которые уточнили процедуры мониторинга национальных проектов и участия научно-технического совета в этом процессе [7].</w:t>
      </w:r>
    </w:p>
    <w:p w14:paraId="000001C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Федеральный закон от 24.07.2007 № 209-ФЗ «О развитии малого и среднего предпринимательства в Российской Федерации» определяет критерии отнесения предприятий к субъектам малого и среднего предпринимательства (МСП). К таким критериям относятся среднесписочная численность работников (до 250 человек), годовой доход (до 2 млрд рублей) и структура уставного капитала (доля участия других юрлиц не более 25%). Статус субъекта МСП даёт право на получение государственной поддержки – льготных кредитов, субсидий, грантов, а также на преимущества при участии в государственных и муниципальных закупках [12].</w:t>
      </w:r>
    </w:p>
    <w:p w14:paraId="000001C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Государственная поддержка инвестиционных проектов осуществляется по нескольким направлениям. Финансовая поддержка включает предоставление субсидий на возмещение части затрат на уплату процентов по кредитам, гранты на создание новых предприятий, льготные займы от региональных микрофинансовых организаций, поручительства Корпорации МСП. Налоговая поддержка предусматривает пониженные ставки по налогу на прибыль (в отдельных регионах), освобождение от налога на имущество, применение инвестиционного налогового вычета. Инфраструктурная поддержка включает создание промышленных парков и технопарков, предоставление земельных участков без торгов [4].</w:t>
      </w:r>
    </w:p>
    <w:p w14:paraId="000001C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таблице 1.9 представлены меры государственной поддержки проектов в РФ.</w:t>
      </w:r>
    </w:p>
    <w:p w14:paraId="000001C4">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 xml:space="preserve">Таблица 1.9 – Меры государственной поддержки проектов в РФ </w:t>
      </w:r>
    </w:p>
    <w:tbl>
      <w:tblPr>
        <w:tblStyle w:val="TableGrid"/>
        <w:tblW w:w="9503" w:type="dxa"/>
        <w:tblInd w:w="-5" w:type="dxa"/>
        <w:tblLook w:val="04A0"/>
      </w:tblPr>
      <w:tblGrid>
        <w:gridCol w:w="2159"/>
        <w:gridCol w:w="4115"/>
        <w:gridCol w:w="3229"/>
      </w:tblGrid>
      <w:tr>
        <w:trPr/>
        <w:tc>
          <w:tcPr>
            <w:cnfStyle w:val="101000000000"/>
            <w:tcW w:w="2159" w:type="dxa"/>
          </w:tcPr>
          <w:p w14:paraId="000001C5">
            <w:pPr>
              <w:jc w:val="center"/>
              <w:rPr>
                <w:rFonts w:ascii="Times New Roman" w:cs="Times New Roman" w:hAnsi="Times New Roman"/>
                <w:sz w:val="24"/>
                <w:szCs w:val="24"/>
              </w:rPr>
            </w:pPr>
            <w:r>
              <w:rPr>
                <w:rFonts w:ascii="Times New Roman" w:cs="Times New Roman" w:hAnsi="Times New Roman"/>
                <w:sz w:val="24"/>
                <w:szCs w:val="24"/>
              </w:rPr>
              <w:t>Вид поддержки</w:t>
            </w:r>
          </w:p>
        </w:tc>
        <w:tc>
          <w:tcPr>
            <w:cnfStyle w:val="100000000000"/>
            <w:tcW w:w="0" w:type="auto"/>
          </w:tcPr>
          <w:p w14:paraId="000001C6">
            <w:pPr>
              <w:jc w:val="center"/>
              <w:rPr>
                <w:rFonts w:ascii="Times New Roman" w:cs="Times New Roman" w:hAnsi="Times New Roman"/>
                <w:sz w:val="24"/>
                <w:szCs w:val="24"/>
              </w:rPr>
            </w:pPr>
            <w:r>
              <w:rPr>
                <w:rFonts w:ascii="Times New Roman" w:cs="Times New Roman" w:hAnsi="Times New Roman"/>
                <w:sz w:val="24"/>
                <w:szCs w:val="24"/>
              </w:rPr>
              <w:t>Формы поддержки</w:t>
            </w:r>
          </w:p>
        </w:tc>
        <w:tc>
          <w:tcPr>
            <w:cnfStyle w:val="100000000000"/>
            <w:tcW w:w="3229" w:type="dxa"/>
          </w:tcPr>
          <w:p w14:paraId="000001C7">
            <w:pPr>
              <w:jc w:val="center"/>
              <w:rPr>
                <w:rFonts w:ascii="Times New Roman" w:cs="Times New Roman" w:hAnsi="Times New Roman"/>
                <w:sz w:val="24"/>
                <w:szCs w:val="24"/>
              </w:rPr>
            </w:pPr>
            <w:r>
              <w:rPr>
                <w:rFonts w:ascii="Times New Roman" w:cs="Times New Roman" w:hAnsi="Times New Roman"/>
                <w:sz w:val="24"/>
                <w:szCs w:val="24"/>
              </w:rPr>
              <w:t>Условия получения</w:t>
            </w:r>
          </w:p>
        </w:tc>
      </w:tr>
      <w:tr>
        <w:trPr/>
        <w:tc>
          <w:tcPr>
            <w:cnfStyle w:val="001000100000"/>
            <w:tcW w:w="2159" w:type="dxa"/>
          </w:tcPr>
          <w:p w14:paraId="000001C8">
            <w:pPr>
              <w:jc w:val="both"/>
              <w:rPr>
                <w:rFonts w:ascii="Times New Roman" w:cs="Times New Roman" w:hAnsi="Times New Roman"/>
                <w:sz w:val="24"/>
                <w:szCs w:val="24"/>
              </w:rPr>
            </w:pPr>
            <w:r>
              <w:rPr>
                <w:rFonts w:ascii="Times New Roman" w:cs="Times New Roman" w:hAnsi="Times New Roman"/>
                <w:sz w:val="24"/>
                <w:szCs w:val="24"/>
              </w:rPr>
              <w:t>Финансовая</w:t>
            </w:r>
          </w:p>
        </w:tc>
        <w:tc>
          <w:tcPr>
            <w:cnfStyle w:val="000000100000"/>
            <w:tcW w:w="0" w:type="auto"/>
          </w:tcPr>
          <w:p w14:paraId="000001C9">
            <w:pPr>
              <w:jc w:val="both"/>
              <w:rPr>
                <w:rFonts w:ascii="Times New Roman" w:cs="Times New Roman" w:hAnsi="Times New Roman"/>
                <w:sz w:val="24"/>
                <w:szCs w:val="24"/>
              </w:rPr>
            </w:pPr>
            <w:r>
              <w:rPr>
                <w:rFonts w:ascii="Times New Roman" w:cs="Times New Roman" w:hAnsi="Times New Roman"/>
                <w:sz w:val="24"/>
                <w:szCs w:val="24"/>
              </w:rPr>
              <w:t>Субсидии, гранты, льготные кредиты, поручительства</w:t>
            </w:r>
          </w:p>
        </w:tc>
        <w:tc>
          <w:tcPr>
            <w:cnfStyle w:val="000000100000"/>
            <w:tcW w:w="3229" w:type="dxa"/>
          </w:tcPr>
          <w:p w14:paraId="000001CA">
            <w:pPr>
              <w:jc w:val="both"/>
              <w:rPr>
                <w:rFonts w:ascii="Times New Roman" w:cs="Times New Roman" w:hAnsi="Times New Roman"/>
                <w:sz w:val="24"/>
                <w:szCs w:val="24"/>
              </w:rPr>
            </w:pPr>
            <w:r>
              <w:rPr>
                <w:rFonts w:ascii="Times New Roman" w:cs="Times New Roman" w:hAnsi="Times New Roman"/>
                <w:sz w:val="24"/>
                <w:szCs w:val="24"/>
              </w:rPr>
              <w:t xml:space="preserve">Статус субъекта МСП, соответствие приоритетным </w:t>
            </w:r>
            <w:r>
              <w:rPr>
                <w:rFonts w:ascii="Times New Roman" w:cs="Times New Roman" w:hAnsi="Times New Roman"/>
                <w:sz w:val="24"/>
                <w:szCs w:val="24"/>
              </w:rPr>
              <w:t>направлениям</w:t>
            </w:r>
          </w:p>
        </w:tc>
      </w:tr>
      <w:tr>
        <w:trPr/>
        <w:tc>
          <w:tcPr>
            <w:cnfStyle w:val="001000010000"/>
            <w:tcW w:w="2159" w:type="dxa"/>
          </w:tcPr>
          <w:p w14:paraId="000001CB">
            <w:pPr>
              <w:jc w:val="both"/>
              <w:rPr>
                <w:rFonts w:ascii="Times New Roman" w:cs="Times New Roman" w:hAnsi="Times New Roman"/>
                <w:sz w:val="24"/>
                <w:szCs w:val="24"/>
              </w:rPr>
            </w:pPr>
            <w:r>
              <w:rPr>
                <w:rFonts w:ascii="Times New Roman" w:cs="Times New Roman" w:hAnsi="Times New Roman"/>
                <w:sz w:val="24"/>
                <w:szCs w:val="24"/>
              </w:rPr>
              <w:t>Налоговая</w:t>
            </w:r>
          </w:p>
        </w:tc>
        <w:tc>
          <w:tcPr>
            <w:cnfStyle w:val="000000010000"/>
            <w:tcW w:w="0" w:type="auto"/>
          </w:tcPr>
          <w:p w14:paraId="000001CC">
            <w:pPr>
              <w:jc w:val="both"/>
              <w:rPr>
                <w:rFonts w:ascii="Times New Roman" w:cs="Times New Roman" w:hAnsi="Times New Roman"/>
                <w:sz w:val="24"/>
                <w:szCs w:val="24"/>
              </w:rPr>
            </w:pPr>
            <w:r>
              <w:rPr>
                <w:rFonts w:ascii="Times New Roman" w:cs="Times New Roman" w:hAnsi="Times New Roman"/>
                <w:sz w:val="24"/>
                <w:szCs w:val="24"/>
              </w:rPr>
              <w:t>Пониженные ставки, налоговые каникулы, инвестиционный вычет</w:t>
            </w:r>
          </w:p>
        </w:tc>
        <w:tc>
          <w:tcPr>
            <w:cnfStyle w:val="000000010000"/>
            <w:tcW w:w="3229" w:type="dxa"/>
          </w:tcPr>
          <w:p w14:paraId="000001CD">
            <w:pPr>
              <w:jc w:val="both"/>
              <w:rPr>
                <w:rFonts w:ascii="Times New Roman" w:cs="Times New Roman" w:hAnsi="Times New Roman"/>
                <w:sz w:val="24"/>
                <w:szCs w:val="24"/>
              </w:rPr>
            </w:pPr>
            <w:r>
              <w:rPr>
                <w:rFonts w:ascii="Times New Roman" w:cs="Times New Roman" w:hAnsi="Times New Roman"/>
                <w:sz w:val="24"/>
                <w:szCs w:val="24"/>
              </w:rPr>
              <w:t>Региональное законодательство, объём инвестиций</w:t>
            </w:r>
          </w:p>
        </w:tc>
      </w:tr>
      <w:tr>
        <w:trPr/>
        <w:tc>
          <w:tcPr>
            <w:cnfStyle w:val="001000100000"/>
            <w:tcW w:w="2159" w:type="dxa"/>
          </w:tcPr>
          <w:p w14:paraId="000001CE">
            <w:pPr>
              <w:jc w:val="both"/>
              <w:rPr>
                <w:rFonts w:ascii="Times New Roman" w:cs="Times New Roman" w:hAnsi="Times New Roman"/>
                <w:sz w:val="24"/>
                <w:szCs w:val="24"/>
              </w:rPr>
            </w:pPr>
            <w:r>
              <w:rPr>
                <w:rFonts w:ascii="Times New Roman" w:cs="Times New Roman" w:hAnsi="Times New Roman"/>
                <w:sz w:val="24"/>
                <w:szCs w:val="24"/>
              </w:rPr>
              <w:t>Инфраструктурная</w:t>
            </w:r>
          </w:p>
        </w:tc>
        <w:tc>
          <w:tcPr>
            <w:cnfStyle w:val="000000100000"/>
            <w:tcW w:w="0" w:type="auto"/>
          </w:tcPr>
          <w:p w14:paraId="000001CF">
            <w:pPr>
              <w:jc w:val="both"/>
              <w:rPr>
                <w:rFonts w:ascii="Times New Roman" w:cs="Times New Roman" w:hAnsi="Times New Roman"/>
                <w:sz w:val="24"/>
                <w:szCs w:val="24"/>
              </w:rPr>
            </w:pPr>
            <w:r>
              <w:rPr>
                <w:rFonts w:ascii="Times New Roman" w:cs="Times New Roman" w:hAnsi="Times New Roman"/>
                <w:sz w:val="24"/>
                <w:szCs w:val="24"/>
              </w:rPr>
              <w:t>Промпарки, технопарки, земельные участки</w:t>
            </w:r>
          </w:p>
        </w:tc>
        <w:tc>
          <w:tcPr>
            <w:cnfStyle w:val="000000100000"/>
            <w:tcW w:w="3229" w:type="dxa"/>
          </w:tcPr>
          <w:p w14:paraId="000001D0">
            <w:pPr>
              <w:jc w:val="both"/>
              <w:rPr>
                <w:rFonts w:ascii="Times New Roman" w:cs="Times New Roman" w:hAnsi="Times New Roman"/>
                <w:sz w:val="24"/>
                <w:szCs w:val="24"/>
              </w:rPr>
            </w:pPr>
            <w:r>
              <w:rPr>
                <w:rFonts w:ascii="Times New Roman" w:cs="Times New Roman" w:hAnsi="Times New Roman"/>
                <w:sz w:val="24"/>
                <w:szCs w:val="24"/>
              </w:rPr>
              <w:t>Резидентство, создание рабочих мест</w:t>
            </w:r>
          </w:p>
        </w:tc>
      </w:tr>
      <w:tr>
        <w:trPr/>
        <w:tc>
          <w:tcPr>
            <w:cnfStyle w:val="001000010000"/>
            <w:tcW w:w="2159" w:type="dxa"/>
          </w:tcPr>
          <w:p w14:paraId="000001D1">
            <w:pPr>
              <w:jc w:val="both"/>
              <w:rPr>
                <w:rFonts w:ascii="Times New Roman" w:cs="Times New Roman" w:hAnsi="Times New Roman"/>
                <w:sz w:val="24"/>
                <w:szCs w:val="24"/>
              </w:rPr>
            </w:pPr>
            <w:r>
              <w:rPr>
                <w:rFonts w:ascii="Times New Roman" w:cs="Times New Roman" w:hAnsi="Times New Roman"/>
                <w:sz w:val="24"/>
                <w:szCs w:val="24"/>
              </w:rPr>
              <w:t>Консультационная</w:t>
            </w:r>
          </w:p>
        </w:tc>
        <w:tc>
          <w:tcPr>
            <w:cnfStyle w:val="000000010000"/>
            <w:tcW w:w="0" w:type="auto"/>
          </w:tcPr>
          <w:p w14:paraId="000001D2">
            <w:pPr>
              <w:jc w:val="both"/>
              <w:rPr>
                <w:rFonts w:ascii="Times New Roman" w:cs="Times New Roman" w:hAnsi="Times New Roman"/>
                <w:sz w:val="24"/>
                <w:szCs w:val="24"/>
              </w:rPr>
            </w:pPr>
            <w:r>
              <w:rPr>
                <w:rFonts w:ascii="Times New Roman" w:cs="Times New Roman" w:hAnsi="Times New Roman"/>
                <w:sz w:val="24"/>
                <w:szCs w:val="24"/>
              </w:rPr>
              <w:t>Обучение, консультации, помощь в сертификации</w:t>
            </w:r>
          </w:p>
        </w:tc>
        <w:tc>
          <w:tcPr>
            <w:cnfStyle w:val="000000010000"/>
            <w:tcW w:w="3229" w:type="dxa"/>
          </w:tcPr>
          <w:p w14:paraId="000001D3">
            <w:pPr>
              <w:jc w:val="both"/>
              <w:rPr>
                <w:rFonts w:ascii="Times New Roman" w:cs="Times New Roman" w:hAnsi="Times New Roman"/>
                <w:sz w:val="24"/>
                <w:szCs w:val="24"/>
              </w:rPr>
            </w:pPr>
            <w:r>
              <w:rPr>
                <w:rFonts w:ascii="Times New Roman" w:cs="Times New Roman" w:hAnsi="Times New Roman"/>
                <w:sz w:val="24"/>
                <w:szCs w:val="24"/>
              </w:rPr>
              <w:t>Бесплатно для субъектов МСП</w:t>
            </w:r>
          </w:p>
        </w:tc>
      </w:tr>
    </w:tbl>
    <w:p w14:paraId="000001D4">
      <w:pPr>
        <w:spacing w:beforeAutospacing="0" w:after="0" w:afterAutospacing="0" w:line="360" w:lineRule="auto"/>
        <w:ind w:firstLine="709"/>
        <w:jc w:val="both"/>
        <w:rPr>
          <w:rFonts w:ascii="Times New Roman" w:cs="Times New Roman" w:hAnsi="Times New Roman"/>
          <w:sz w:val="28"/>
          <w:szCs w:val="28"/>
        </w:rPr>
      </w:pPr>
    </w:p>
    <w:p w14:paraId="000001D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Государственная поддержка проектов в РФ предоставляется в различных формах – от прямого финансирования до налоговых льгот и инфраструктурной поддержки. Условия получения зависят от масштаба проекта, его отраслевой принадлежности и статуса инициатора. Для малых и средних проектов наиболее доступными являются меры поддержки в рамках Федерального закона № 209-ФЗ. Для крупных инвестиционных проектов – механизмы СЗПК и ГЧП.</w:t>
      </w:r>
    </w:p>
    <w:p w14:paraId="000001D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Федеральный закон от 27.12.2002 № 184-ФЗ «О техническом регулировании» устанавливает правовые основы разработки, принятия и применения технических регламентов. Технические регламенты, в отличие от стандартов, имеют обязательную силу и устанавливают минимально необходимые требования к продукции и процессам её производства. В зависимости от сферы деятельности проект может подпадать под действие различных технических регламентов Таможенного союза (ЕАЭС). Для промышленных проектов наиболее значимыми являются ТР ТС 011/2011 «О безопасности зданий и сооружений», ТР ТС 010/2011 «О безопасности машин и оборудования», ТР ТС 012/2011 «О безопасности оборудования для работы во взрывоопасных средах» и другие [13].</w:t>
      </w:r>
    </w:p>
    <w:p w14:paraId="000001D7">
      <w:pPr>
        <w:spacing w:beforeAutospacing="0" w:after="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sz w:val="28"/>
          <w:szCs w:val="28"/>
        </w:rPr>
        <w:t xml:space="preserve">Экологические требования к проектам установлены Федеральным законом № 7-ФЗ от 10.01.2002 «Об охране окружающей среды». В соответствии с законом, проекты, оказывающие воздействие на окружающую среду, проходят государственную экологическую экспертизу. Предприятия обязаны получить разрешение на выбросы загрязняющих веществ (ПДВ), рассчитать нормативы образования отходов (НЛО) и вносить плату за </w:t>
      </w:r>
      <w:r>
        <w:rPr>
          <w:rFonts w:ascii="Times New Roman" w:cs="Times New Roman" w:hAnsi="Times New Roman"/>
          <w:sz w:val="28"/>
          <w:szCs w:val="28"/>
        </w:rPr>
        <w:t>негативное воздействие на окружающую среду (НВОС). С 1 сентября 2025 года предприятия II категории (умеренное воздействие) обязаны получить комплексное экологическое разрешение (КЭР) и разработать программу повышения экологической эффективности [14].</w:t>
      </w:r>
      <w:bookmarkStart w:id="1" w:name="_Toc232406676"/>
    </w:p>
    <w:p w14:paraId="000001D8">
      <w:pPr>
        <w:spacing w:beforeAutospacing="0" w:after="0" w:afterAutospacing="0" w:line="360" w:lineRule="auto"/>
        <w:ind w:firstLine="709"/>
        <w:jc w:val="both"/>
        <w:rPr>
          <w:rFonts w:ascii="Times New Roman" w:cs="Times New Roman" w:hAnsi="Times New Roman"/>
          <w:b w:val="off"/>
          <w:bCs w:val="off"/>
          <w:color w:val="auto"/>
          <w:sz w:val="28"/>
          <w:szCs w:val="28"/>
        </w:rPr>
      </w:pPr>
      <w:r>
        <w:rPr>
          <w:rFonts w:ascii="Times New Roman" w:cs="Times New Roman" w:hAnsi="Times New Roman"/>
          <w:b w:val="off"/>
          <w:bCs w:val="off"/>
          <w:color w:val="auto"/>
          <w:sz w:val="28"/>
          <w:szCs w:val="28"/>
        </w:rPr>
        <w:t>Таким образом, анализ нормативно-правового регулирования реализации проектов в Российской Федерации позволяет сделать следующие выводы. Нормативно-правовая база является многоуровневой и включает акты разной юридической силы – от кодексов до технических регламентов. Ключевыми актами являются Гражданский, Налоговый, Земельный и Градостроительный кодексы, а также законы о стратегическом планировании, ГЧП, концессиях и защите капиталовложений. Проекты требуют соблюдения экологических, санитарных, пожарных требований и охраны труда, нарушение которых влечёт административную или уголовную ответственность. Знание нормативно-правовой базы является условием успешной реализации проекта и минимизации юридических рисков.</w:t>
      </w:r>
    </w:p>
    <w:p w14:paraId="000001D9">
      <w:pPr>
        <w:spacing w:beforeAutospacing="0" w:after="0" w:afterAutospacing="0" w:line="360" w:lineRule="auto"/>
        <w:ind w:firstLine="709"/>
        <w:jc w:val="both"/>
        <w:rPr>
          <w:rFonts w:ascii="Times New Roman" w:cs="Times New Roman" w:hAnsi="Times New Roman"/>
          <w:b w:val="off"/>
          <w:bCs w:val="off"/>
          <w:color w:val="auto"/>
          <w:sz w:val="28"/>
          <w:szCs w:val="28"/>
          <w:lang w:val="ru-RU"/>
        </w:rPr>
      </w:pPr>
    </w:p>
    <w:p w14:paraId="000001DA">
      <w:pPr>
        <w:spacing w:beforeAutospacing="0" w:after="0" w:afterAutospacing="0" w:line="360" w:lineRule="auto"/>
        <w:ind w:firstLine="709"/>
        <w:jc w:val="both"/>
        <w:rPr>
          <w:rFonts w:ascii="Times New Roman" w:cs="Times New Roman" w:hAnsi="Times New Roman"/>
          <w:b/>
          <w:bCs/>
          <w:color w:val="auto"/>
          <w:sz w:val="28"/>
          <w:szCs w:val="28"/>
        </w:rPr>
      </w:pPr>
    </w:p>
    <w:p w14:paraId="000001DB">
      <w:pPr>
        <w:spacing w:beforeAutospacing="0" w:after="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2 Маркетинговое исследование рынка кирпича и обоснование рыночной привлекательности проекта</w:t>
      </w:r>
      <w:bookmarkEnd w:id="1"/>
    </w:p>
    <w:p w14:paraId="000001DC">
      <w:pPr>
        <w:pStyle w:val="Heading1"/>
        <w:spacing w:before="0" w:beforeAutospacing="0" w:afterAutospacing="0" w:line="360" w:lineRule="auto"/>
        <w:ind w:firstLine="709"/>
        <w:jc w:val="both"/>
        <w:rPr>
          <w:rFonts w:ascii="Times New Roman" w:cs="Times New Roman" w:hAnsi="Times New Roman"/>
          <w:b/>
          <w:bCs/>
          <w:color w:val="auto"/>
          <w:sz w:val="28"/>
          <w:szCs w:val="28"/>
        </w:rPr>
      </w:pPr>
      <w:bookmarkStart w:id="2" w:name="_Toc232406677"/>
    </w:p>
    <w:p w14:paraId="000001DD">
      <w:pPr>
        <w:pStyle w:val="Heading1"/>
        <w:spacing w:before="0" w:beforeAutospacing="0" w:afterAutospacing="0" w:line="360" w:lineRule="auto"/>
        <w:ind w:firstLine="709"/>
        <w:jc w:val="both"/>
        <w:rPr>
          <w:rFonts w:ascii="Times New Roman" w:cs="Times New Roman" w:hAnsi="Times New Roman"/>
          <w:b/>
          <w:bCs/>
          <w:color w:val="auto"/>
          <w:sz w:val="28"/>
          <w:szCs w:val="28"/>
        </w:rPr>
      </w:pPr>
    </w:p>
    <w:p w14:paraId="000001DE">
      <w:pPr>
        <w:pStyle w:val="Heading1"/>
        <w:spacing w:before="0" w:beforeAutospacing="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2.1 Анализ текущего состояния рынка производства кирпича</w:t>
      </w:r>
      <w:bookmarkEnd w:id="2"/>
    </w:p>
    <w:p w14:paraId="000001DF">
      <w:pPr>
        <w:spacing w:beforeAutospacing="0" w:after="0" w:afterAutospacing="0" w:line="360" w:lineRule="auto"/>
        <w:jc w:val="both"/>
        <w:rPr>
          <w:rFonts w:ascii="Times New Roman" w:cs="Times New Roman" w:hAnsi="Times New Roman"/>
          <w:sz w:val="28"/>
          <w:szCs w:val="28"/>
        </w:rPr>
      </w:pPr>
    </w:p>
    <w:p w14:paraId="000001E0">
      <w:pPr>
        <w:spacing w:beforeAutospacing="0" w:after="0" w:afterAutospacing="0" w:line="360" w:lineRule="auto"/>
        <w:ind w:firstLine="709"/>
        <w:jc w:val="both"/>
        <w:rPr>
          <w:rFonts w:ascii="Times New Roman" w:cs="Times New Roman" w:hAnsi="Times New Roman"/>
          <w:sz w:val="28"/>
          <w:szCs w:val="28"/>
        </w:rPr>
      </w:pPr>
    </w:p>
    <w:p w14:paraId="000001E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принятия обоснованного решения о создании предприятия по производству гиперпрессованного кирпича необходимо провести комплексный анализ рынка строительных стеновых материалов. В данном параграфе рассматриваются динамика производства и потребления кирпича в Российской Федерации и Пензенской области, ценовые тренды, региональная структура, а также факторы, влияющие на спрос.</w:t>
      </w:r>
    </w:p>
    <w:p w14:paraId="000001E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Рынок строительных материалов в Российской Федерации является одним из индикаторов состояния экономики в целом, так как тесно связан с жилищным, промышлентым и инфраструктурным строительством. В 2023–2025 годах отрасль столкнулась с рядом вызовов: завершение массовой льготной ипотеки, рост ключевой ставки Центрального банка (до 16–18% в 2024 году с последующим снижением до 15–16% в 2025 году), удорожание логистики и сырья, санкционные ограничения. Всё это привело к снижению объёмов ввода жилья и, как следствие, к падению спроса на стеновые материалы.</w:t>
      </w:r>
    </w:p>
    <w:p w14:paraId="000001E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Пензенская область, входящая в Приволжский федеральный округ, традиционно является регионом с развитым производством строительных материалов. В области расположены крупные предприятия по производству кирпича, в том числе Пензенский кирпичный завод, Нижнеломовский кирпичный завод, а также ряд других производителей. Однако производство гиперпрессованного кирпича в регионе представлено слабо, что создаёт потенциальные возможности для нового предприятия.</w:t>
      </w:r>
    </w:p>
    <w:p w14:paraId="000001E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 данным консалтинговой компании «Технологии Роста», производство керамического и силикатного кирпича в России в 2025 году составило около 1,81 млрд условных штук, что на 7,3% меньше, чем в 2024 году [57]. При этом производство керамического кирпича сократилось на 9,2%, а силикатного – на 13,1%. Продажи керамического кирпича в 2025 году снизились на 8% – с 4,8 до 4,4 млрд штук. Спрос на кирпич в целом упал на 12,5% [54]. Это падение объясняется тремя основными причинами: во-первых, сокращением запусков новых строительных проектов (за первое полугодие 2025 года – на 22%, до 17,8 млн кв. м); во-вторых, переходом части застройщиков на альтернативные стеновые материалы (газобетон, керамоблоки, панельные технологии); в-третьих, ростом цен на кирпич, который сделал его менее доступным для массового сегмента.</w:t>
      </w:r>
    </w:p>
    <w:p w14:paraId="000001E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Пензенской области динамика производства кирпича в целом повторяет общероссийские тенденции. По данным Пензастата, в 2024 году объём производства строительного кирпича в регионе снизился на 5,8% по сравнению с 2023 годом, а в 2025 году снижение продолжилось и составило ещё 6,2%. В абсолютных цифрах в 2025 году было произведено около 85 млн условных штук кирпича (таблица 2.1) [55].</w:t>
      </w:r>
    </w:p>
    <w:p w14:paraId="000001E6">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2.1 – Динамика производства кирпича в РФ и Пензенской области (2023–2025 гг.)</w:t>
      </w:r>
      <w:r>
        <w:t xml:space="preserve"> </w:t>
      </w:r>
      <w:r>
        <w:rPr>
          <w:rFonts w:ascii="Times New Roman" w:cs="Times New Roman" w:hAnsi="Times New Roman"/>
          <w:bCs/>
          <w:sz w:val="28"/>
          <w:szCs w:val="28"/>
        </w:rPr>
        <w:t>[57]</w:t>
      </w:r>
    </w:p>
    <w:tbl>
      <w:tblPr>
        <w:tblStyle w:val="TableGrid"/>
        <w:tblW w:w="9427" w:type="dxa"/>
        <w:jc w:val="center"/>
        <w:tblInd w:w="151" w:type="dxa"/>
        <w:tblLook w:val="04A0"/>
      </w:tblPr>
      <w:tblGrid>
        <w:gridCol w:w="5180"/>
        <w:gridCol w:w="696"/>
        <w:gridCol w:w="696"/>
        <w:gridCol w:w="696"/>
        <w:gridCol w:w="2159"/>
      </w:tblGrid>
      <w:tr>
        <w:trPr>
          <w:jc w:val="center"/>
        </w:trPr>
        <w:tc>
          <w:tcPr>
            <w:cnfStyle w:val="101000000000"/>
            <w:tcW w:w="5180" w:type="dxa"/>
          </w:tcPr>
          <w:p w14:paraId="000001E7">
            <w:pPr>
              <w:jc w:val="center"/>
              <w:rPr>
                <w:rFonts w:ascii="Times New Roman" w:cs="Times New Roman" w:hAnsi="Times New Roman"/>
                <w:sz w:val="24"/>
                <w:szCs w:val="24"/>
              </w:rPr>
            </w:pPr>
            <w:r>
              <w:rPr>
                <w:rFonts w:ascii="Times New Roman" w:cs="Times New Roman" w:hAnsi="Times New Roman"/>
                <w:sz w:val="24"/>
                <w:szCs w:val="24"/>
              </w:rPr>
              <w:t>Регион / Показатель</w:t>
            </w:r>
          </w:p>
        </w:tc>
        <w:tc>
          <w:tcPr>
            <w:cnfStyle w:val="100000000000"/>
            <w:tcW w:w="696" w:type="dxa"/>
          </w:tcPr>
          <w:p w14:paraId="000001E8">
            <w:pPr>
              <w:jc w:val="center"/>
              <w:rPr>
                <w:rFonts w:ascii="Times New Roman" w:cs="Times New Roman" w:hAnsi="Times New Roman"/>
                <w:sz w:val="24"/>
                <w:szCs w:val="24"/>
              </w:rPr>
            </w:pPr>
            <w:r>
              <w:rPr>
                <w:rFonts w:ascii="Times New Roman" w:cs="Times New Roman" w:hAnsi="Times New Roman"/>
                <w:sz w:val="24"/>
                <w:szCs w:val="24"/>
              </w:rPr>
              <w:t>2023</w:t>
            </w:r>
          </w:p>
        </w:tc>
        <w:tc>
          <w:tcPr>
            <w:cnfStyle w:val="100000000000"/>
            <w:tcW w:w="696" w:type="dxa"/>
          </w:tcPr>
          <w:p w14:paraId="000001E9">
            <w:pPr>
              <w:jc w:val="center"/>
              <w:rPr>
                <w:rFonts w:ascii="Times New Roman" w:cs="Times New Roman" w:hAnsi="Times New Roman"/>
                <w:sz w:val="24"/>
                <w:szCs w:val="24"/>
              </w:rPr>
            </w:pPr>
            <w:r>
              <w:rPr>
                <w:rFonts w:ascii="Times New Roman" w:cs="Times New Roman" w:hAnsi="Times New Roman"/>
                <w:sz w:val="24"/>
                <w:szCs w:val="24"/>
              </w:rPr>
              <w:t>2024</w:t>
            </w:r>
          </w:p>
        </w:tc>
        <w:tc>
          <w:tcPr>
            <w:cnfStyle w:val="100000000000"/>
            <w:tcW w:w="696" w:type="dxa"/>
          </w:tcPr>
          <w:p w14:paraId="000001EA">
            <w:pPr>
              <w:jc w:val="center"/>
              <w:rPr>
                <w:rFonts w:ascii="Times New Roman" w:cs="Times New Roman" w:hAnsi="Times New Roman"/>
                <w:sz w:val="24"/>
                <w:szCs w:val="24"/>
              </w:rPr>
            </w:pPr>
            <w:r>
              <w:rPr>
                <w:rFonts w:ascii="Times New Roman" w:cs="Times New Roman" w:hAnsi="Times New Roman"/>
                <w:sz w:val="24"/>
                <w:szCs w:val="24"/>
              </w:rPr>
              <w:t>2025</w:t>
            </w:r>
          </w:p>
        </w:tc>
        <w:tc>
          <w:tcPr>
            <w:cnfStyle w:val="100000000000"/>
            <w:tcW w:w="2159" w:type="dxa"/>
          </w:tcPr>
          <w:p w14:paraId="000001EB">
            <w:pPr>
              <w:jc w:val="center"/>
              <w:rPr>
                <w:rFonts w:ascii="Times New Roman" w:cs="Times New Roman" w:hAnsi="Times New Roman"/>
                <w:sz w:val="24"/>
                <w:szCs w:val="24"/>
              </w:rPr>
            </w:pPr>
            <w:r>
              <w:rPr>
                <w:rFonts w:ascii="Times New Roman" w:cs="Times New Roman" w:hAnsi="Times New Roman"/>
                <w:sz w:val="24"/>
                <w:szCs w:val="24"/>
              </w:rPr>
              <w:t>Изменение 2025/2023</w:t>
            </w:r>
          </w:p>
        </w:tc>
      </w:tr>
      <w:tr>
        <w:trPr>
          <w:jc w:val="center"/>
        </w:trPr>
        <w:tc>
          <w:tcPr>
            <w:cnfStyle w:val="001000100000"/>
            <w:tcW w:w="5180" w:type="dxa"/>
          </w:tcPr>
          <w:p w14:paraId="000001EC">
            <w:pPr>
              <w:jc w:val="both"/>
              <w:rPr>
                <w:rFonts w:ascii="Times New Roman" w:cs="Times New Roman" w:hAnsi="Times New Roman"/>
                <w:sz w:val="24"/>
                <w:szCs w:val="24"/>
              </w:rPr>
            </w:pPr>
            <w:r>
              <w:rPr>
                <w:rFonts w:ascii="Times New Roman" w:cs="Times New Roman" w:hAnsi="Times New Roman"/>
                <w:sz w:val="24"/>
                <w:szCs w:val="24"/>
              </w:rPr>
              <w:t>Россия (керамический + силикатный), млн усл. шт.</w:t>
            </w:r>
          </w:p>
        </w:tc>
        <w:tc>
          <w:tcPr>
            <w:cnfStyle w:val="000000100000"/>
            <w:tcW w:w="696" w:type="dxa"/>
          </w:tcPr>
          <w:p w14:paraId="000001ED">
            <w:pPr>
              <w:jc w:val="center"/>
              <w:rPr>
                <w:rFonts w:ascii="Times New Roman" w:cs="Times New Roman" w:hAnsi="Times New Roman"/>
                <w:sz w:val="24"/>
                <w:szCs w:val="24"/>
              </w:rPr>
            </w:pPr>
            <w:r>
              <w:rPr>
                <w:rFonts w:ascii="Times New Roman" w:cs="Times New Roman" w:hAnsi="Times New Roman"/>
                <w:sz w:val="24"/>
                <w:szCs w:val="24"/>
              </w:rPr>
              <w:t>2198</w:t>
            </w:r>
          </w:p>
        </w:tc>
        <w:tc>
          <w:tcPr>
            <w:cnfStyle w:val="000000100000"/>
            <w:tcW w:w="696" w:type="dxa"/>
          </w:tcPr>
          <w:p w14:paraId="000001EE">
            <w:pPr>
              <w:jc w:val="center"/>
              <w:rPr>
                <w:rFonts w:ascii="Times New Roman" w:cs="Times New Roman" w:hAnsi="Times New Roman"/>
                <w:sz w:val="24"/>
                <w:szCs w:val="24"/>
              </w:rPr>
            </w:pPr>
            <w:r>
              <w:rPr>
                <w:rFonts w:ascii="Times New Roman" w:cs="Times New Roman" w:hAnsi="Times New Roman"/>
                <w:sz w:val="24"/>
                <w:szCs w:val="24"/>
              </w:rPr>
              <w:t>2095</w:t>
            </w:r>
          </w:p>
        </w:tc>
        <w:tc>
          <w:tcPr>
            <w:cnfStyle w:val="000000100000"/>
            <w:tcW w:w="696" w:type="dxa"/>
          </w:tcPr>
          <w:p w14:paraId="000001EF">
            <w:pPr>
              <w:jc w:val="center"/>
              <w:rPr>
                <w:rFonts w:ascii="Times New Roman" w:cs="Times New Roman" w:hAnsi="Times New Roman"/>
                <w:sz w:val="24"/>
                <w:szCs w:val="24"/>
              </w:rPr>
            </w:pPr>
            <w:r>
              <w:rPr>
                <w:rFonts w:ascii="Times New Roman" w:cs="Times New Roman" w:hAnsi="Times New Roman"/>
                <w:sz w:val="24"/>
                <w:szCs w:val="24"/>
              </w:rPr>
              <w:t>1882</w:t>
            </w:r>
          </w:p>
        </w:tc>
        <w:tc>
          <w:tcPr>
            <w:cnfStyle w:val="000000100000"/>
            <w:tcW w:w="2159" w:type="dxa"/>
          </w:tcPr>
          <w:p w14:paraId="000001F0">
            <w:pPr>
              <w:jc w:val="center"/>
              <w:rPr>
                <w:rFonts w:ascii="Times New Roman" w:cs="Times New Roman" w:hAnsi="Times New Roman"/>
                <w:sz w:val="24"/>
                <w:szCs w:val="24"/>
              </w:rPr>
            </w:pPr>
            <w:r>
              <w:rPr>
                <w:rFonts w:ascii="Times New Roman" w:cs="Times New Roman" w:hAnsi="Times New Roman"/>
                <w:sz w:val="24"/>
                <w:szCs w:val="24"/>
              </w:rPr>
              <w:t>–14,4%</w:t>
            </w:r>
          </w:p>
        </w:tc>
      </w:tr>
      <w:tr>
        <w:trPr>
          <w:jc w:val="center"/>
        </w:trPr>
        <w:tc>
          <w:tcPr>
            <w:cnfStyle w:val="001000010000"/>
            <w:tcW w:w="5180" w:type="dxa"/>
          </w:tcPr>
          <w:p w14:paraId="000001F1">
            <w:pPr>
              <w:jc w:val="both"/>
              <w:rPr>
                <w:rFonts w:ascii="Times New Roman" w:cs="Times New Roman" w:hAnsi="Times New Roman"/>
                <w:sz w:val="24"/>
                <w:szCs w:val="24"/>
              </w:rPr>
            </w:pPr>
            <w:r>
              <w:rPr>
                <w:rFonts w:ascii="Times New Roman" w:cs="Times New Roman" w:hAnsi="Times New Roman"/>
                <w:sz w:val="24"/>
                <w:szCs w:val="24"/>
              </w:rPr>
              <w:t>Россия (гиперпрессованный, оценка), млн шт.</w:t>
            </w:r>
          </w:p>
        </w:tc>
        <w:tc>
          <w:tcPr>
            <w:cnfStyle w:val="000000010000"/>
            <w:tcW w:w="696" w:type="dxa"/>
          </w:tcPr>
          <w:p w14:paraId="000001F2">
            <w:pPr>
              <w:jc w:val="center"/>
              <w:rPr>
                <w:rFonts w:ascii="Times New Roman" w:cs="Times New Roman" w:hAnsi="Times New Roman"/>
                <w:sz w:val="24"/>
                <w:szCs w:val="24"/>
              </w:rPr>
            </w:pPr>
            <w:r>
              <w:rPr>
                <w:rFonts w:ascii="Times New Roman" w:cs="Times New Roman" w:hAnsi="Times New Roman"/>
                <w:sz w:val="24"/>
                <w:szCs w:val="24"/>
              </w:rPr>
              <w:t>68</w:t>
            </w:r>
          </w:p>
        </w:tc>
        <w:tc>
          <w:tcPr>
            <w:cnfStyle w:val="000000010000"/>
            <w:tcW w:w="696" w:type="dxa"/>
          </w:tcPr>
          <w:p w14:paraId="000001F3">
            <w:pPr>
              <w:jc w:val="center"/>
              <w:rPr>
                <w:rFonts w:ascii="Times New Roman" w:cs="Times New Roman" w:hAnsi="Times New Roman"/>
                <w:sz w:val="24"/>
                <w:szCs w:val="24"/>
              </w:rPr>
            </w:pPr>
            <w:r>
              <w:rPr>
                <w:rFonts w:ascii="Times New Roman" w:cs="Times New Roman" w:hAnsi="Times New Roman"/>
                <w:sz w:val="24"/>
                <w:szCs w:val="24"/>
              </w:rPr>
              <w:t>65</w:t>
            </w:r>
          </w:p>
        </w:tc>
        <w:tc>
          <w:tcPr>
            <w:cnfStyle w:val="000000010000"/>
            <w:tcW w:w="696" w:type="dxa"/>
          </w:tcPr>
          <w:p w14:paraId="000001F4">
            <w:pPr>
              <w:jc w:val="center"/>
              <w:rPr>
                <w:rFonts w:ascii="Times New Roman" w:cs="Times New Roman" w:hAnsi="Times New Roman"/>
                <w:sz w:val="24"/>
                <w:szCs w:val="24"/>
              </w:rPr>
            </w:pPr>
            <w:r>
              <w:rPr>
                <w:rFonts w:ascii="Times New Roman" w:cs="Times New Roman" w:hAnsi="Times New Roman"/>
                <w:sz w:val="24"/>
                <w:szCs w:val="24"/>
              </w:rPr>
              <w:t>62</w:t>
            </w:r>
          </w:p>
        </w:tc>
        <w:tc>
          <w:tcPr>
            <w:cnfStyle w:val="000000010000"/>
            <w:tcW w:w="2159" w:type="dxa"/>
          </w:tcPr>
          <w:p w14:paraId="000001F5">
            <w:pPr>
              <w:jc w:val="center"/>
              <w:rPr>
                <w:rFonts w:ascii="Times New Roman" w:cs="Times New Roman" w:hAnsi="Times New Roman"/>
                <w:sz w:val="24"/>
                <w:szCs w:val="24"/>
              </w:rPr>
            </w:pPr>
            <w:r>
              <w:rPr>
                <w:rFonts w:ascii="Times New Roman" w:cs="Times New Roman" w:hAnsi="Times New Roman"/>
                <w:sz w:val="24"/>
                <w:szCs w:val="24"/>
              </w:rPr>
              <w:t>–8,8%</w:t>
            </w:r>
          </w:p>
        </w:tc>
      </w:tr>
      <w:tr>
        <w:trPr>
          <w:jc w:val="center"/>
        </w:trPr>
        <w:tc>
          <w:tcPr>
            <w:cnfStyle w:val="001000100000"/>
            <w:tcW w:w="5180" w:type="dxa"/>
          </w:tcPr>
          <w:p w14:paraId="000001F6">
            <w:pPr>
              <w:jc w:val="both"/>
              <w:rPr>
                <w:rFonts w:ascii="Times New Roman" w:cs="Times New Roman" w:hAnsi="Times New Roman"/>
                <w:sz w:val="24"/>
                <w:szCs w:val="24"/>
              </w:rPr>
            </w:pPr>
            <w:r>
              <w:rPr>
                <w:rFonts w:ascii="Times New Roman" w:cs="Times New Roman" w:hAnsi="Times New Roman"/>
                <w:sz w:val="24"/>
                <w:szCs w:val="24"/>
              </w:rPr>
              <w:t>Пензенская область (все виды), млн усл. шт.</w:t>
            </w:r>
          </w:p>
        </w:tc>
        <w:tc>
          <w:tcPr>
            <w:cnfStyle w:val="000000100000"/>
            <w:tcW w:w="696" w:type="dxa"/>
          </w:tcPr>
          <w:p w14:paraId="000001F7">
            <w:pPr>
              <w:jc w:val="center"/>
              <w:rPr>
                <w:rFonts w:ascii="Times New Roman" w:cs="Times New Roman" w:hAnsi="Times New Roman"/>
                <w:sz w:val="24"/>
                <w:szCs w:val="24"/>
              </w:rPr>
            </w:pPr>
            <w:r>
              <w:rPr>
                <w:rFonts w:ascii="Times New Roman" w:cs="Times New Roman" w:hAnsi="Times New Roman"/>
                <w:sz w:val="24"/>
                <w:szCs w:val="24"/>
              </w:rPr>
              <w:t>96</w:t>
            </w:r>
          </w:p>
        </w:tc>
        <w:tc>
          <w:tcPr>
            <w:cnfStyle w:val="000000100000"/>
            <w:tcW w:w="696" w:type="dxa"/>
          </w:tcPr>
          <w:p w14:paraId="000001F8">
            <w:pPr>
              <w:jc w:val="center"/>
              <w:rPr>
                <w:rFonts w:ascii="Times New Roman" w:cs="Times New Roman" w:hAnsi="Times New Roman"/>
                <w:sz w:val="24"/>
                <w:szCs w:val="24"/>
              </w:rPr>
            </w:pPr>
            <w:r>
              <w:rPr>
                <w:rFonts w:ascii="Times New Roman" w:cs="Times New Roman" w:hAnsi="Times New Roman"/>
                <w:sz w:val="24"/>
                <w:szCs w:val="24"/>
              </w:rPr>
              <w:t>90</w:t>
            </w:r>
          </w:p>
        </w:tc>
        <w:tc>
          <w:tcPr>
            <w:cnfStyle w:val="000000100000"/>
            <w:tcW w:w="696" w:type="dxa"/>
          </w:tcPr>
          <w:p w14:paraId="000001F9">
            <w:pPr>
              <w:jc w:val="center"/>
              <w:rPr>
                <w:rFonts w:ascii="Times New Roman" w:cs="Times New Roman" w:hAnsi="Times New Roman"/>
                <w:sz w:val="24"/>
                <w:szCs w:val="24"/>
              </w:rPr>
            </w:pPr>
            <w:r>
              <w:rPr>
                <w:rFonts w:ascii="Times New Roman" w:cs="Times New Roman" w:hAnsi="Times New Roman"/>
                <w:sz w:val="24"/>
                <w:szCs w:val="24"/>
              </w:rPr>
              <w:t>85</w:t>
            </w:r>
          </w:p>
        </w:tc>
        <w:tc>
          <w:tcPr>
            <w:cnfStyle w:val="000000100000"/>
            <w:tcW w:w="2159" w:type="dxa"/>
          </w:tcPr>
          <w:p w14:paraId="000001FA">
            <w:pPr>
              <w:jc w:val="center"/>
              <w:rPr>
                <w:rFonts w:ascii="Times New Roman" w:cs="Times New Roman" w:hAnsi="Times New Roman"/>
                <w:sz w:val="24"/>
                <w:szCs w:val="24"/>
              </w:rPr>
            </w:pPr>
            <w:r>
              <w:rPr>
                <w:rFonts w:ascii="Times New Roman" w:cs="Times New Roman" w:hAnsi="Times New Roman"/>
                <w:sz w:val="24"/>
                <w:szCs w:val="24"/>
              </w:rPr>
              <w:t>–11,5%</w:t>
            </w:r>
          </w:p>
        </w:tc>
      </w:tr>
    </w:tbl>
    <w:p w14:paraId="000001FB">
      <w:pPr>
        <w:spacing w:beforeAutospacing="0" w:after="0" w:afterAutospacing="0" w:line="360" w:lineRule="auto"/>
        <w:ind w:firstLine="709"/>
        <w:jc w:val="both"/>
        <w:rPr>
          <w:rFonts w:ascii="Times New Roman" w:cs="Times New Roman" w:hAnsi="Times New Roman"/>
          <w:i/>
          <w:iCs/>
          <w:sz w:val="28"/>
          <w:szCs w:val="28"/>
        </w:rPr>
      </w:pPr>
    </w:p>
    <w:p w14:paraId="000001F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Рынок кирпича в России и Пензенской области переживает спад. Падение за три года составило 11–14%. Гиперпрессованный кирпич, занимающий долю рынка (около 3–5%), демонстрирует меньшую амплитуду падения (–8,8%), что свидетельствует о более устойчивых позициях благодаря ориентации на облицовочный продукт.</w:t>
      </w:r>
    </w:p>
    <w:p w14:paraId="000001F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Несмотря на снижение физических объёмов производства и спроса, цены на кирпич в 2023–2025 годах продолжали расти. В 2025 году средняя цена 1 тыс. условных штук кирпича в России достигла 11,9 тыс. руб., что на 11,2% выше уровня 2024 года. </w:t>
      </w:r>
      <w:r>
        <w:rPr>
          <w:rFonts w:ascii="Times New Roman" w:cs="Times New Roman" w:hAnsi="Times New Roman"/>
          <w:sz w:val="28"/>
          <w:szCs w:val="28"/>
        </w:rPr>
        <w:t>Повышение стоимости</w:t>
      </w:r>
      <w:r>
        <w:rPr>
          <w:rFonts w:ascii="Times New Roman" w:cs="Times New Roman" w:hAnsi="Times New Roman"/>
          <w:sz w:val="28"/>
          <w:szCs w:val="28"/>
        </w:rPr>
        <w:t xml:space="preserve"> объясняется повышением себестоимости производства: цены на цемент выросли за 2023–2025 годы в совокупности на 18%, на энергоносители – на 15–20%, на логистику – на 25% из-за удорожания топлива и дефицита подвижного состава [54].</w:t>
      </w:r>
    </w:p>
    <w:p w14:paraId="000001F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Пензенской области цены на кирпич в 2025 году находились на следующих уровнях:</w:t>
      </w:r>
    </w:p>
    <w:p w14:paraId="000001F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1) кирпич керамический рядовой: 10–12 тыс. руб. за 1 тыс. шт.;</w:t>
      </w:r>
    </w:p>
    <w:p w14:paraId="0000020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2) кирпич керамический облицовочный: 18–25 тыс. руб. за 1 тыс. шт.;</w:t>
      </w:r>
    </w:p>
    <w:p w14:paraId="0000020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3) кирпич силикатный: 8–10 тыс. руб. за 1 тыс. шт.;</w:t>
      </w:r>
    </w:p>
    <w:p w14:paraId="00000202">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sz w:val="28"/>
          <w:szCs w:val="28"/>
        </w:rPr>
        <w:t>4) кирпич гиперпрессованный (завозной): 28–35 руб./шт. (с учётом доставки из других регионов) [56].</w:t>
      </w:r>
    </w:p>
    <w:p w14:paraId="00000203">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Производство строительного кирпича сильно дифференцировано по регионам. Основные мощности сосредоточены в Центральном (около 40% производства), Приволжском (25%) и Южном (15%) федеральных округах. Пензенская область относится к Приволжскому федеральному округу (таблица 2.2) [56].</w:t>
      </w:r>
    </w:p>
    <w:p w14:paraId="00000204">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2.2 – Основные производители кирпича в Приволжском федеральном округе (2025 год) [56]</w:t>
      </w:r>
    </w:p>
    <w:tbl>
      <w:tblPr>
        <w:tblStyle w:val="TableGrid"/>
        <w:tblW w:w="0" w:type="auto"/>
        <w:jc w:val="center"/>
        <w:tblLook w:val="04A0"/>
      </w:tblPr>
      <w:tblGrid>
        <w:gridCol w:w="2618"/>
        <w:gridCol w:w="3658"/>
        <w:gridCol w:w="1453"/>
        <w:gridCol w:w="1616"/>
      </w:tblGrid>
      <w:tr>
        <w:trPr>
          <w:cnfStyle w:val="100000000000"/>
          <w:jc w:val="center"/>
        </w:trPr>
        <w:tc>
          <w:tcPr>
            <w:cnfStyle w:val="101000000000"/>
            <w:tcW w:w="2618" w:type="dxa"/>
          </w:tcPr>
          <w:p w14:paraId="00000205">
            <w:pPr>
              <w:jc w:val="center"/>
              <w:rPr>
                <w:rFonts w:ascii="Times New Roman" w:cs="Times New Roman" w:hAnsi="Times New Roman"/>
                <w:sz w:val="24"/>
                <w:szCs w:val="24"/>
              </w:rPr>
            </w:pPr>
            <w:r>
              <w:rPr>
                <w:rFonts w:ascii="Times New Roman" w:cs="Times New Roman" w:hAnsi="Times New Roman"/>
                <w:sz w:val="24"/>
                <w:szCs w:val="24"/>
              </w:rPr>
              <w:t>Регион</w:t>
            </w:r>
          </w:p>
        </w:tc>
        <w:tc>
          <w:tcPr>
            <w:cnfStyle w:val="100000000000"/>
            <w:tcW w:w="3658" w:type="dxa"/>
          </w:tcPr>
          <w:p w14:paraId="00000206">
            <w:pPr>
              <w:jc w:val="center"/>
              <w:rPr>
                <w:rFonts w:ascii="Times New Roman" w:cs="Times New Roman" w:hAnsi="Times New Roman"/>
                <w:sz w:val="24"/>
                <w:szCs w:val="24"/>
              </w:rPr>
            </w:pPr>
            <w:r>
              <w:rPr>
                <w:rFonts w:ascii="Times New Roman" w:cs="Times New Roman" w:hAnsi="Times New Roman"/>
                <w:sz w:val="24"/>
                <w:szCs w:val="24"/>
              </w:rPr>
              <w:t>Крупнейшие производители</w:t>
            </w:r>
          </w:p>
        </w:tc>
        <w:tc>
          <w:tcPr>
            <w:cnfStyle w:val="100000000000"/>
            <w:tcW w:w="1453" w:type="dxa"/>
          </w:tcPr>
          <w:p w14:paraId="00000207">
            <w:pPr>
              <w:jc w:val="center"/>
              <w:rPr>
                <w:rFonts w:ascii="Times New Roman" w:cs="Times New Roman" w:hAnsi="Times New Roman"/>
                <w:sz w:val="24"/>
                <w:szCs w:val="24"/>
              </w:rPr>
            </w:pPr>
            <w:r>
              <w:rPr>
                <w:rFonts w:ascii="Times New Roman" w:cs="Times New Roman" w:hAnsi="Times New Roman"/>
                <w:sz w:val="24"/>
                <w:szCs w:val="24"/>
              </w:rPr>
              <w:t>Мощность, млн шт./год</w:t>
            </w:r>
          </w:p>
        </w:tc>
        <w:tc>
          <w:tcPr>
            <w:cnfStyle w:val="100000000000"/>
            <w:tcW w:w="1616" w:type="dxa"/>
          </w:tcPr>
          <w:p w14:paraId="00000208">
            <w:pPr>
              <w:jc w:val="center"/>
              <w:rPr>
                <w:rFonts w:ascii="Times New Roman" w:cs="Times New Roman" w:hAnsi="Times New Roman"/>
                <w:sz w:val="24"/>
                <w:szCs w:val="24"/>
              </w:rPr>
            </w:pPr>
            <w:r>
              <w:rPr>
                <w:rFonts w:ascii="Times New Roman" w:cs="Times New Roman" w:hAnsi="Times New Roman"/>
                <w:sz w:val="24"/>
                <w:szCs w:val="24"/>
              </w:rPr>
              <w:t>Доля в производстве ПФО, %</w:t>
            </w:r>
          </w:p>
        </w:tc>
      </w:tr>
      <w:tr>
        <w:trPr>
          <w:cnfStyle w:val="000000100000"/>
          <w:jc w:val="center"/>
        </w:trPr>
        <w:tc>
          <w:tcPr>
            <w:cnfStyle w:val="001000100000"/>
            <w:tcW w:w="2618" w:type="dxa"/>
          </w:tcPr>
          <w:p w14:paraId="00000209">
            <w:pPr>
              <w:jc w:val="both"/>
              <w:rPr>
                <w:rFonts w:ascii="Times New Roman" w:cs="Times New Roman" w:hAnsi="Times New Roman"/>
                <w:sz w:val="24"/>
                <w:szCs w:val="24"/>
              </w:rPr>
            </w:pPr>
            <w:r>
              <w:rPr>
                <w:rFonts w:ascii="Times New Roman" w:cs="Times New Roman" w:hAnsi="Times New Roman"/>
                <w:sz w:val="24"/>
                <w:szCs w:val="24"/>
              </w:rPr>
              <w:t>Республика Татарстан</w:t>
            </w:r>
          </w:p>
        </w:tc>
        <w:tc>
          <w:tcPr>
            <w:cnfStyle w:val="000000100000"/>
            <w:tcW w:w="3658" w:type="dxa"/>
          </w:tcPr>
          <w:p w14:paraId="0000020A">
            <w:pPr>
              <w:jc w:val="both"/>
              <w:rPr>
                <w:rFonts w:ascii="Times New Roman" w:cs="Times New Roman" w:hAnsi="Times New Roman"/>
                <w:sz w:val="24"/>
                <w:szCs w:val="24"/>
              </w:rPr>
            </w:pPr>
            <w:r>
              <w:rPr>
                <w:rFonts w:ascii="Times New Roman" w:cs="Times New Roman" w:hAnsi="Times New Roman"/>
                <w:sz w:val="24"/>
                <w:szCs w:val="24"/>
              </w:rPr>
              <w:t>Казанский кирпичный завод</w:t>
            </w:r>
          </w:p>
        </w:tc>
        <w:tc>
          <w:tcPr>
            <w:cnfStyle w:val="000000100000"/>
            <w:tcW w:w="1453" w:type="dxa"/>
          </w:tcPr>
          <w:p w14:paraId="0000020B">
            <w:pPr>
              <w:jc w:val="center"/>
              <w:rPr>
                <w:rFonts w:ascii="Times New Roman" w:cs="Times New Roman" w:hAnsi="Times New Roman"/>
                <w:sz w:val="24"/>
                <w:szCs w:val="24"/>
              </w:rPr>
            </w:pPr>
            <w:r>
              <w:rPr>
                <w:rFonts w:ascii="Times New Roman" w:cs="Times New Roman" w:hAnsi="Times New Roman"/>
                <w:sz w:val="24"/>
                <w:szCs w:val="24"/>
              </w:rPr>
              <w:t>120</w:t>
            </w:r>
          </w:p>
        </w:tc>
        <w:tc>
          <w:tcPr>
            <w:cnfStyle w:val="000000100000"/>
            <w:tcW w:w="1616" w:type="dxa"/>
          </w:tcPr>
          <w:p w14:paraId="0000020C">
            <w:pPr>
              <w:jc w:val="center"/>
              <w:rPr>
                <w:rFonts w:ascii="Times New Roman" w:cs="Times New Roman" w:hAnsi="Times New Roman"/>
                <w:sz w:val="24"/>
                <w:szCs w:val="24"/>
              </w:rPr>
            </w:pPr>
            <w:r>
              <w:rPr>
                <w:rFonts w:ascii="Times New Roman" w:cs="Times New Roman" w:hAnsi="Times New Roman"/>
                <w:sz w:val="24"/>
                <w:szCs w:val="24"/>
              </w:rPr>
              <w:t>32,4</w:t>
            </w:r>
          </w:p>
        </w:tc>
      </w:tr>
      <w:tr>
        <w:trPr>
          <w:cnfStyle w:val="000000010000"/>
          <w:jc w:val="center"/>
        </w:trPr>
        <w:tc>
          <w:tcPr>
            <w:cnfStyle w:val="001000010000"/>
            <w:tcW w:w="2618" w:type="dxa"/>
          </w:tcPr>
          <w:p w14:paraId="0000020D">
            <w:pPr>
              <w:jc w:val="both"/>
              <w:rPr>
                <w:rFonts w:ascii="Times New Roman" w:cs="Times New Roman" w:hAnsi="Times New Roman"/>
                <w:sz w:val="24"/>
                <w:szCs w:val="24"/>
              </w:rPr>
            </w:pPr>
            <w:r>
              <w:rPr>
                <w:rFonts w:ascii="Times New Roman" w:cs="Times New Roman" w:hAnsi="Times New Roman"/>
                <w:sz w:val="24"/>
                <w:szCs w:val="24"/>
              </w:rPr>
              <w:t>Самарская область</w:t>
            </w:r>
          </w:p>
        </w:tc>
        <w:tc>
          <w:tcPr>
            <w:cnfStyle w:val="000000010000"/>
            <w:tcW w:w="3658" w:type="dxa"/>
          </w:tcPr>
          <w:p w14:paraId="0000020E">
            <w:pPr>
              <w:jc w:val="both"/>
              <w:rPr>
                <w:rFonts w:ascii="Times New Roman" w:cs="Times New Roman" w:hAnsi="Times New Roman"/>
                <w:sz w:val="24"/>
                <w:szCs w:val="24"/>
              </w:rPr>
            </w:pPr>
            <w:r>
              <w:rPr>
                <w:rFonts w:ascii="Times New Roman" w:cs="Times New Roman" w:hAnsi="Times New Roman"/>
                <w:sz w:val="24"/>
                <w:szCs w:val="24"/>
              </w:rPr>
              <w:t>Самарский кирпичный завод</w:t>
            </w:r>
          </w:p>
        </w:tc>
        <w:tc>
          <w:tcPr>
            <w:cnfStyle w:val="000000010000"/>
            <w:tcW w:w="1453" w:type="dxa"/>
          </w:tcPr>
          <w:p w14:paraId="0000020F">
            <w:pPr>
              <w:jc w:val="center"/>
              <w:rPr>
                <w:rFonts w:ascii="Times New Roman" w:cs="Times New Roman" w:hAnsi="Times New Roman"/>
                <w:sz w:val="24"/>
                <w:szCs w:val="24"/>
              </w:rPr>
            </w:pPr>
            <w:r>
              <w:rPr>
                <w:rFonts w:ascii="Times New Roman" w:cs="Times New Roman" w:hAnsi="Times New Roman"/>
                <w:sz w:val="24"/>
                <w:szCs w:val="24"/>
              </w:rPr>
              <w:t>85</w:t>
            </w:r>
          </w:p>
        </w:tc>
        <w:tc>
          <w:tcPr>
            <w:cnfStyle w:val="000000010000"/>
            <w:tcW w:w="1616" w:type="dxa"/>
          </w:tcPr>
          <w:p w14:paraId="00000210">
            <w:pPr>
              <w:jc w:val="center"/>
              <w:rPr>
                <w:rFonts w:ascii="Times New Roman" w:cs="Times New Roman" w:hAnsi="Times New Roman"/>
                <w:sz w:val="24"/>
                <w:szCs w:val="24"/>
              </w:rPr>
            </w:pPr>
            <w:r>
              <w:rPr>
                <w:rFonts w:ascii="Times New Roman" w:cs="Times New Roman" w:hAnsi="Times New Roman"/>
                <w:sz w:val="24"/>
                <w:szCs w:val="24"/>
              </w:rPr>
              <w:t>23</w:t>
            </w:r>
          </w:p>
        </w:tc>
      </w:tr>
      <w:tr>
        <w:trPr>
          <w:cnfStyle w:val="000000100000"/>
          <w:jc w:val="center"/>
        </w:trPr>
        <w:tc>
          <w:tcPr>
            <w:cnfStyle w:val="001000100000"/>
            <w:tcW w:w="2618" w:type="dxa"/>
          </w:tcPr>
          <w:p w14:paraId="00000211">
            <w:pPr>
              <w:jc w:val="both"/>
              <w:rPr>
                <w:rFonts w:ascii="Times New Roman" w:cs="Times New Roman" w:hAnsi="Times New Roman"/>
                <w:sz w:val="24"/>
                <w:szCs w:val="24"/>
              </w:rPr>
            </w:pPr>
            <w:r>
              <w:rPr>
                <w:rFonts w:ascii="Times New Roman" w:cs="Times New Roman" w:hAnsi="Times New Roman"/>
                <w:sz w:val="24"/>
                <w:szCs w:val="24"/>
              </w:rPr>
              <w:t>Нижегородская область</w:t>
            </w:r>
          </w:p>
        </w:tc>
        <w:tc>
          <w:tcPr>
            <w:cnfStyle w:val="000000100000"/>
            <w:tcW w:w="3658" w:type="dxa"/>
          </w:tcPr>
          <w:p w14:paraId="00000212">
            <w:pPr>
              <w:jc w:val="both"/>
              <w:rPr>
                <w:rFonts w:ascii="Times New Roman" w:cs="Times New Roman" w:hAnsi="Times New Roman"/>
                <w:sz w:val="24"/>
                <w:szCs w:val="24"/>
              </w:rPr>
            </w:pPr>
            <w:r>
              <w:rPr>
                <w:rFonts w:ascii="Times New Roman" w:cs="Times New Roman" w:hAnsi="Times New Roman"/>
                <w:sz w:val="24"/>
                <w:szCs w:val="24"/>
              </w:rPr>
              <w:t>Кстовский кирпичный завод</w:t>
            </w:r>
          </w:p>
        </w:tc>
        <w:tc>
          <w:tcPr>
            <w:cnfStyle w:val="000000100000"/>
            <w:tcW w:w="1453" w:type="dxa"/>
          </w:tcPr>
          <w:p w14:paraId="00000213">
            <w:pPr>
              <w:jc w:val="center"/>
              <w:rPr>
                <w:rFonts w:ascii="Times New Roman" w:cs="Times New Roman" w:hAnsi="Times New Roman"/>
                <w:sz w:val="24"/>
                <w:szCs w:val="24"/>
              </w:rPr>
            </w:pPr>
            <w:r>
              <w:rPr>
                <w:rFonts w:ascii="Times New Roman" w:cs="Times New Roman" w:hAnsi="Times New Roman"/>
                <w:sz w:val="24"/>
                <w:szCs w:val="24"/>
              </w:rPr>
              <w:t>70</w:t>
            </w:r>
          </w:p>
        </w:tc>
        <w:tc>
          <w:tcPr>
            <w:cnfStyle w:val="000000100000"/>
            <w:tcW w:w="1616" w:type="dxa"/>
          </w:tcPr>
          <w:p w14:paraId="00000214">
            <w:pPr>
              <w:jc w:val="center"/>
              <w:rPr>
                <w:rFonts w:ascii="Times New Roman" w:cs="Times New Roman" w:hAnsi="Times New Roman"/>
                <w:sz w:val="24"/>
                <w:szCs w:val="24"/>
              </w:rPr>
            </w:pPr>
            <w:r>
              <w:rPr>
                <w:rFonts w:ascii="Times New Roman" w:cs="Times New Roman" w:hAnsi="Times New Roman"/>
                <w:sz w:val="24"/>
                <w:szCs w:val="24"/>
              </w:rPr>
              <w:t>18,9</w:t>
            </w:r>
          </w:p>
        </w:tc>
      </w:tr>
      <w:tr>
        <w:trPr>
          <w:cnfStyle w:val="000000010000"/>
          <w:jc w:val="center"/>
        </w:trPr>
        <w:tc>
          <w:tcPr>
            <w:cnfStyle w:val="001000010000"/>
            <w:tcW w:w="2618" w:type="dxa"/>
          </w:tcPr>
          <w:p w14:paraId="00000215">
            <w:pPr>
              <w:jc w:val="both"/>
              <w:rPr>
                <w:rFonts w:ascii="Times New Roman" w:cs="Times New Roman" w:hAnsi="Times New Roman"/>
                <w:sz w:val="24"/>
                <w:szCs w:val="24"/>
              </w:rPr>
            </w:pPr>
            <w:r>
              <w:rPr>
                <w:rFonts w:ascii="Times New Roman" w:cs="Times New Roman" w:hAnsi="Times New Roman"/>
                <w:sz w:val="24"/>
                <w:szCs w:val="24"/>
              </w:rPr>
              <w:t>Саратовская область</w:t>
            </w:r>
          </w:p>
        </w:tc>
        <w:tc>
          <w:tcPr>
            <w:cnfStyle w:val="000000010000"/>
            <w:tcW w:w="3658" w:type="dxa"/>
          </w:tcPr>
          <w:p w14:paraId="00000216">
            <w:pPr>
              <w:jc w:val="both"/>
              <w:rPr>
                <w:rFonts w:ascii="Times New Roman" w:cs="Times New Roman" w:hAnsi="Times New Roman"/>
                <w:sz w:val="24"/>
                <w:szCs w:val="24"/>
              </w:rPr>
            </w:pPr>
            <w:r>
              <w:rPr>
                <w:rFonts w:ascii="Times New Roman" w:cs="Times New Roman" w:hAnsi="Times New Roman"/>
                <w:sz w:val="24"/>
                <w:szCs w:val="24"/>
              </w:rPr>
              <w:t>Саратовский керамический завод</w:t>
            </w:r>
          </w:p>
        </w:tc>
        <w:tc>
          <w:tcPr>
            <w:cnfStyle w:val="000000010000"/>
            <w:tcW w:w="1453" w:type="dxa"/>
          </w:tcPr>
          <w:p w14:paraId="00000217">
            <w:pPr>
              <w:jc w:val="center"/>
              <w:rPr>
                <w:rFonts w:ascii="Times New Roman" w:cs="Times New Roman" w:hAnsi="Times New Roman"/>
                <w:sz w:val="24"/>
                <w:szCs w:val="24"/>
              </w:rPr>
            </w:pPr>
            <w:r>
              <w:rPr>
                <w:rFonts w:ascii="Times New Roman" w:cs="Times New Roman" w:hAnsi="Times New Roman"/>
                <w:sz w:val="24"/>
                <w:szCs w:val="24"/>
              </w:rPr>
              <w:t>50</w:t>
            </w:r>
          </w:p>
        </w:tc>
        <w:tc>
          <w:tcPr>
            <w:cnfStyle w:val="000000010000"/>
            <w:tcW w:w="1616" w:type="dxa"/>
          </w:tcPr>
          <w:p w14:paraId="00000218">
            <w:pPr>
              <w:jc w:val="center"/>
              <w:rPr>
                <w:rFonts w:ascii="Times New Roman" w:cs="Times New Roman" w:hAnsi="Times New Roman"/>
                <w:sz w:val="24"/>
                <w:szCs w:val="24"/>
              </w:rPr>
            </w:pPr>
            <w:r>
              <w:rPr>
                <w:rFonts w:ascii="Times New Roman" w:cs="Times New Roman" w:hAnsi="Times New Roman"/>
                <w:sz w:val="24"/>
                <w:szCs w:val="24"/>
              </w:rPr>
              <w:t>13,5</w:t>
            </w:r>
          </w:p>
        </w:tc>
      </w:tr>
      <w:tr>
        <w:trPr>
          <w:cnfStyle w:val="000000100000"/>
          <w:jc w:val="center"/>
        </w:trPr>
        <w:tc>
          <w:tcPr>
            <w:cnfStyle w:val="001000100000"/>
            <w:tcW w:w="2618" w:type="dxa"/>
          </w:tcPr>
          <w:p w14:paraId="00000219">
            <w:pPr>
              <w:jc w:val="both"/>
              <w:rPr>
                <w:rFonts w:ascii="Times New Roman" w:cs="Times New Roman" w:hAnsi="Times New Roman"/>
                <w:sz w:val="24"/>
                <w:szCs w:val="24"/>
              </w:rPr>
            </w:pPr>
            <w:r>
              <w:rPr>
                <w:rFonts w:ascii="Times New Roman" w:cs="Times New Roman" w:hAnsi="Times New Roman"/>
                <w:sz w:val="24"/>
                <w:szCs w:val="24"/>
              </w:rPr>
              <w:t>Пензенская область</w:t>
            </w:r>
          </w:p>
        </w:tc>
        <w:tc>
          <w:tcPr>
            <w:cnfStyle w:val="000000100000"/>
            <w:tcW w:w="3658" w:type="dxa"/>
          </w:tcPr>
          <w:p w14:paraId="0000021A">
            <w:pPr>
              <w:jc w:val="both"/>
              <w:rPr>
                <w:rFonts w:ascii="Times New Roman" w:cs="Times New Roman" w:hAnsi="Times New Roman"/>
                <w:sz w:val="24"/>
                <w:szCs w:val="24"/>
              </w:rPr>
            </w:pPr>
            <w:r>
              <w:rPr>
                <w:rFonts w:ascii="Times New Roman" w:cs="Times New Roman" w:hAnsi="Times New Roman"/>
                <w:sz w:val="24"/>
                <w:szCs w:val="24"/>
              </w:rPr>
              <w:t>Пензенский КЗ, Нижнеломовский КЗ</w:t>
            </w:r>
          </w:p>
        </w:tc>
        <w:tc>
          <w:tcPr>
            <w:cnfStyle w:val="000000100000"/>
            <w:tcW w:w="1453" w:type="dxa"/>
          </w:tcPr>
          <w:p w14:paraId="0000021B">
            <w:pPr>
              <w:jc w:val="center"/>
              <w:rPr>
                <w:rFonts w:ascii="Times New Roman" w:cs="Times New Roman" w:hAnsi="Times New Roman"/>
                <w:sz w:val="24"/>
                <w:szCs w:val="24"/>
              </w:rPr>
            </w:pPr>
            <w:r>
              <w:rPr>
                <w:rFonts w:ascii="Times New Roman" w:cs="Times New Roman" w:hAnsi="Times New Roman"/>
                <w:sz w:val="24"/>
                <w:szCs w:val="24"/>
              </w:rPr>
              <w:t>45</w:t>
            </w:r>
          </w:p>
        </w:tc>
        <w:tc>
          <w:tcPr>
            <w:cnfStyle w:val="000000100000"/>
            <w:tcW w:w="1616" w:type="dxa"/>
          </w:tcPr>
          <w:p w14:paraId="0000021C">
            <w:pPr>
              <w:jc w:val="center"/>
              <w:rPr>
                <w:rFonts w:ascii="Times New Roman" w:cs="Times New Roman" w:hAnsi="Times New Roman"/>
                <w:sz w:val="24"/>
                <w:szCs w:val="24"/>
              </w:rPr>
            </w:pPr>
            <w:r>
              <w:rPr>
                <w:rFonts w:ascii="Times New Roman" w:cs="Times New Roman" w:hAnsi="Times New Roman"/>
                <w:sz w:val="24"/>
                <w:szCs w:val="24"/>
              </w:rPr>
              <w:t>12,2</w:t>
            </w:r>
          </w:p>
        </w:tc>
      </w:tr>
      <w:tr>
        <w:trPr>
          <w:cnfStyle w:val="000000010000"/>
          <w:trHeight w:val="349"/>
          <w:jc w:val="center"/>
        </w:trPr>
        <w:tc>
          <w:tcPr>
            <w:cnfStyle w:val="001000010000"/>
            <w:tcW w:w="2618" w:type="dxa"/>
          </w:tcPr>
          <w:p w14:paraId="0000021D">
            <w:pPr>
              <w:jc w:val="both"/>
              <w:rPr>
                <w:rFonts w:ascii="Times New Roman" w:cs="Times New Roman" w:hAnsi="Times New Roman"/>
                <w:sz w:val="24"/>
                <w:szCs w:val="24"/>
              </w:rPr>
            </w:pPr>
            <w:r>
              <w:rPr>
                <w:rFonts w:ascii="Times New Roman" w:cs="Times New Roman" w:hAnsi="Times New Roman"/>
                <w:sz w:val="24"/>
                <w:szCs w:val="24"/>
              </w:rPr>
              <w:t>Итого ПФО</w:t>
            </w:r>
          </w:p>
        </w:tc>
        <w:tc>
          <w:tcPr>
            <w:cnfStyle w:val="000000010000"/>
            <w:tcW w:w="3658" w:type="dxa"/>
          </w:tcPr>
          <w:p w14:paraId="0000021E">
            <w:pPr>
              <w:jc w:val="both"/>
              <w:rPr>
                <w:rFonts w:ascii="Times New Roman" w:cs="Times New Roman" w:hAnsi="Times New Roman"/>
                <w:sz w:val="24"/>
                <w:szCs w:val="24"/>
              </w:rPr>
            </w:pPr>
          </w:p>
        </w:tc>
        <w:tc>
          <w:tcPr>
            <w:cnfStyle w:val="000000010000"/>
            <w:tcW w:w="1453" w:type="dxa"/>
          </w:tcPr>
          <w:p w14:paraId="0000021F">
            <w:pPr>
              <w:jc w:val="center"/>
              <w:rPr>
                <w:rFonts w:ascii="Times New Roman" w:cs="Times New Roman" w:hAnsi="Times New Roman"/>
                <w:sz w:val="24"/>
                <w:szCs w:val="24"/>
              </w:rPr>
            </w:pPr>
            <w:r>
              <w:rPr>
                <w:rFonts w:ascii="Times New Roman" w:cs="Times New Roman" w:hAnsi="Times New Roman"/>
                <w:sz w:val="24"/>
                <w:szCs w:val="24"/>
              </w:rPr>
              <w:t>370</w:t>
            </w:r>
          </w:p>
        </w:tc>
        <w:tc>
          <w:tcPr>
            <w:cnfStyle w:val="000000010000"/>
            <w:tcW w:w="1616" w:type="dxa"/>
          </w:tcPr>
          <w:p w14:paraId="00000220">
            <w:pPr>
              <w:jc w:val="center"/>
              <w:rPr>
                <w:rFonts w:ascii="Times New Roman" w:cs="Times New Roman" w:hAnsi="Times New Roman"/>
                <w:sz w:val="24"/>
                <w:szCs w:val="24"/>
              </w:rPr>
            </w:pPr>
            <w:r>
              <w:rPr>
                <w:rFonts w:ascii="Times New Roman" w:cs="Times New Roman" w:hAnsi="Times New Roman"/>
                <w:sz w:val="24"/>
                <w:szCs w:val="24"/>
              </w:rPr>
              <w:t>100</w:t>
            </w:r>
          </w:p>
        </w:tc>
      </w:tr>
    </w:tbl>
    <w:p w14:paraId="00000221">
      <w:pPr>
        <w:spacing w:beforeAutospacing="0" w:after="0" w:afterAutospacing="0" w:line="360" w:lineRule="auto"/>
        <w:ind w:firstLine="706"/>
        <w:jc w:val="both"/>
        <w:rPr>
          <w:rFonts w:ascii="Times New Roman" w:cs="Times New Roman" w:hAnsi="Times New Roman"/>
          <w:sz w:val="28"/>
          <w:szCs w:val="28"/>
        </w:rPr>
      </w:pPr>
    </w:p>
    <w:p w14:paraId="00000222">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Приволжский федеральный округ занимает второе место в России по производству кирпича. Пензенская область обеспечивает около 7% окружного производства, что соответствует её экономическому потенциалу. Однако гиперпрессованный кирпич в регионе практически не производится, что создаёт конкурентное окно.</w:t>
      </w:r>
    </w:p>
    <w:p w14:paraId="0000022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Важным фактором спроса на кирпич является ввод жилья. По данным Министерства экономического развития и промышленности Пензенской области, в 2023 году в регионе было введено 620 тыс. кв. м жилья, в 2024 году – 605 тыс. кв. м (–2,4%), в 2025 году – 590 тыс. кв. м (–2,5%) (таблица 2.3). Падение связано с общей экономической ситуацией и ужесточением условий ипотечного кредитования. Доля индивидуального жилищного строительства (ИЖС) в регионе составляет около 55–60%, что выше среднероссийских показателей [59].</w:t>
      </w:r>
    </w:p>
    <w:p w14:paraId="00000224">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2.3 – Ввод жилья в Пензенской области (2023–2025 гг.) [59]</w:t>
      </w:r>
    </w:p>
    <w:tbl>
      <w:tblPr>
        <w:tblStyle w:val="TableGrid"/>
        <w:tblW w:w="9464" w:type="dxa"/>
        <w:tblLook w:val="04A0"/>
      </w:tblPr>
      <w:tblGrid>
        <w:gridCol w:w="3647"/>
        <w:gridCol w:w="1267"/>
        <w:gridCol w:w="965"/>
        <w:gridCol w:w="1019"/>
        <w:gridCol w:w="2564"/>
      </w:tblGrid>
      <w:tr>
        <w:trPr/>
        <w:tc>
          <w:tcPr>
            <w:cnfStyle w:val="101000000000"/>
            <w:tcW w:w="3604" w:type="dxa"/>
          </w:tcPr>
          <w:p w14:paraId="00000225">
            <w:pPr>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cnfStyle w:val="100000000000"/>
            <w:tcW w:w="1252" w:type="dxa"/>
          </w:tcPr>
          <w:p w14:paraId="00000226">
            <w:pPr>
              <w:jc w:val="center"/>
              <w:rPr>
                <w:rFonts w:ascii="Times New Roman" w:cs="Times New Roman" w:hAnsi="Times New Roman"/>
                <w:sz w:val="24"/>
                <w:szCs w:val="24"/>
              </w:rPr>
            </w:pPr>
            <w:r>
              <w:rPr>
                <w:rFonts w:ascii="Times New Roman" w:cs="Times New Roman" w:hAnsi="Times New Roman"/>
                <w:sz w:val="24"/>
                <w:szCs w:val="24"/>
              </w:rPr>
              <w:t>2023</w:t>
            </w:r>
          </w:p>
        </w:tc>
        <w:tc>
          <w:tcPr>
            <w:cnfStyle w:val="100000000000"/>
            <w:tcW w:w="954" w:type="dxa"/>
          </w:tcPr>
          <w:p w14:paraId="00000227">
            <w:pPr>
              <w:jc w:val="center"/>
              <w:rPr>
                <w:rFonts w:ascii="Times New Roman" w:cs="Times New Roman" w:hAnsi="Times New Roman"/>
                <w:sz w:val="24"/>
                <w:szCs w:val="24"/>
              </w:rPr>
            </w:pPr>
            <w:r>
              <w:rPr>
                <w:rFonts w:ascii="Times New Roman" w:cs="Times New Roman" w:hAnsi="Times New Roman"/>
                <w:sz w:val="24"/>
                <w:szCs w:val="24"/>
              </w:rPr>
              <w:t>2024</w:t>
            </w:r>
          </w:p>
        </w:tc>
        <w:tc>
          <w:tcPr>
            <w:cnfStyle w:val="100000000000"/>
            <w:tcW w:w="1007" w:type="dxa"/>
          </w:tcPr>
          <w:p w14:paraId="00000228">
            <w:pPr>
              <w:jc w:val="center"/>
              <w:rPr>
                <w:rFonts w:ascii="Times New Roman" w:cs="Times New Roman" w:hAnsi="Times New Roman"/>
                <w:sz w:val="24"/>
                <w:szCs w:val="24"/>
              </w:rPr>
            </w:pPr>
            <w:r>
              <w:rPr>
                <w:rFonts w:ascii="Times New Roman" w:cs="Times New Roman" w:hAnsi="Times New Roman"/>
                <w:sz w:val="24"/>
                <w:szCs w:val="24"/>
              </w:rPr>
              <w:t>2025</w:t>
            </w:r>
          </w:p>
        </w:tc>
        <w:tc>
          <w:tcPr>
            <w:cnfStyle w:val="100000000000"/>
            <w:tcW w:w="2534" w:type="dxa"/>
          </w:tcPr>
          <w:p w14:paraId="00000229">
            <w:pPr>
              <w:jc w:val="center"/>
              <w:rPr>
                <w:rFonts w:ascii="Times New Roman" w:cs="Times New Roman" w:hAnsi="Times New Roman"/>
                <w:sz w:val="24"/>
                <w:szCs w:val="24"/>
              </w:rPr>
            </w:pPr>
            <w:r>
              <w:rPr>
                <w:rFonts w:ascii="Times New Roman" w:cs="Times New Roman" w:hAnsi="Times New Roman"/>
                <w:sz w:val="24"/>
                <w:szCs w:val="24"/>
              </w:rPr>
              <w:t>Изменение 2025/2023</w:t>
            </w:r>
          </w:p>
        </w:tc>
      </w:tr>
      <w:tr>
        <w:trPr/>
        <w:tc>
          <w:tcPr>
            <w:cnfStyle w:val="001000100000"/>
            <w:tcW w:w="3604" w:type="dxa"/>
          </w:tcPr>
          <w:p w14:paraId="0000022A">
            <w:pPr>
              <w:jc w:val="both"/>
              <w:rPr>
                <w:rFonts w:ascii="Times New Roman" w:cs="Times New Roman" w:hAnsi="Times New Roman"/>
                <w:sz w:val="24"/>
                <w:szCs w:val="24"/>
              </w:rPr>
            </w:pPr>
            <w:r>
              <w:rPr>
                <w:rFonts w:ascii="Times New Roman" w:cs="Times New Roman" w:hAnsi="Times New Roman"/>
                <w:sz w:val="24"/>
                <w:szCs w:val="24"/>
              </w:rPr>
              <w:t>Ввод жилья, тыс. кв. м</w:t>
            </w:r>
          </w:p>
        </w:tc>
        <w:tc>
          <w:tcPr>
            <w:cnfStyle w:val="000000100000"/>
            <w:tcW w:w="1252" w:type="dxa"/>
          </w:tcPr>
          <w:p w14:paraId="0000022B">
            <w:pPr>
              <w:jc w:val="center"/>
              <w:rPr>
                <w:rFonts w:ascii="Times New Roman" w:cs="Times New Roman" w:hAnsi="Times New Roman"/>
                <w:sz w:val="24"/>
                <w:szCs w:val="24"/>
              </w:rPr>
            </w:pPr>
            <w:r>
              <w:rPr>
                <w:rFonts w:ascii="Times New Roman" w:cs="Times New Roman" w:hAnsi="Times New Roman"/>
                <w:sz w:val="24"/>
                <w:szCs w:val="24"/>
              </w:rPr>
              <w:t>620</w:t>
            </w:r>
          </w:p>
        </w:tc>
        <w:tc>
          <w:tcPr>
            <w:cnfStyle w:val="000000100000"/>
            <w:tcW w:w="954" w:type="dxa"/>
          </w:tcPr>
          <w:p w14:paraId="0000022C">
            <w:pPr>
              <w:jc w:val="center"/>
              <w:rPr>
                <w:rFonts w:ascii="Times New Roman" w:cs="Times New Roman" w:hAnsi="Times New Roman"/>
                <w:sz w:val="24"/>
                <w:szCs w:val="24"/>
              </w:rPr>
            </w:pPr>
            <w:r>
              <w:rPr>
                <w:rFonts w:ascii="Times New Roman" w:cs="Times New Roman" w:hAnsi="Times New Roman"/>
                <w:sz w:val="24"/>
                <w:szCs w:val="24"/>
              </w:rPr>
              <w:t>605</w:t>
            </w:r>
          </w:p>
        </w:tc>
        <w:tc>
          <w:tcPr>
            <w:cnfStyle w:val="000000100000"/>
            <w:tcW w:w="1007" w:type="dxa"/>
          </w:tcPr>
          <w:p w14:paraId="0000022D">
            <w:pPr>
              <w:jc w:val="center"/>
              <w:rPr>
                <w:rFonts w:ascii="Times New Roman" w:cs="Times New Roman" w:hAnsi="Times New Roman"/>
                <w:sz w:val="24"/>
                <w:szCs w:val="24"/>
              </w:rPr>
            </w:pPr>
            <w:r>
              <w:rPr>
                <w:rFonts w:ascii="Times New Roman" w:cs="Times New Roman" w:hAnsi="Times New Roman"/>
                <w:sz w:val="24"/>
                <w:szCs w:val="24"/>
              </w:rPr>
              <w:t>590</w:t>
            </w:r>
          </w:p>
        </w:tc>
        <w:tc>
          <w:tcPr>
            <w:cnfStyle w:val="000000100000"/>
            <w:tcW w:w="2534" w:type="dxa"/>
          </w:tcPr>
          <w:p w14:paraId="0000022E">
            <w:pPr>
              <w:jc w:val="center"/>
              <w:rPr>
                <w:rFonts w:ascii="Times New Roman" w:cs="Times New Roman" w:hAnsi="Times New Roman"/>
                <w:sz w:val="24"/>
                <w:szCs w:val="24"/>
              </w:rPr>
            </w:pPr>
            <w:r>
              <w:rPr>
                <w:rFonts w:ascii="Times New Roman" w:cs="Times New Roman" w:hAnsi="Times New Roman"/>
                <w:sz w:val="24"/>
                <w:szCs w:val="24"/>
              </w:rPr>
              <w:t>–4,8%</w:t>
            </w:r>
          </w:p>
        </w:tc>
      </w:tr>
      <w:tr>
        <w:trPr/>
        <w:tc>
          <w:tcPr>
            <w:cnfStyle w:val="001000010000"/>
            <w:tcW w:w="3604" w:type="dxa"/>
          </w:tcPr>
          <w:p w14:paraId="0000022F">
            <w:pPr>
              <w:jc w:val="both"/>
              <w:rPr>
                <w:rFonts w:ascii="Times New Roman" w:cs="Times New Roman" w:hAnsi="Times New Roman"/>
                <w:sz w:val="24"/>
                <w:szCs w:val="24"/>
              </w:rPr>
            </w:pPr>
            <w:r>
              <w:rPr>
                <w:rFonts w:ascii="Times New Roman" w:cs="Times New Roman" w:hAnsi="Times New Roman"/>
                <w:sz w:val="24"/>
                <w:szCs w:val="24"/>
              </w:rPr>
              <w:t>В том числе ИЖС, тыс. кв. м</w:t>
            </w:r>
          </w:p>
        </w:tc>
        <w:tc>
          <w:tcPr>
            <w:cnfStyle w:val="000000010000"/>
            <w:tcW w:w="1252" w:type="dxa"/>
          </w:tcPr>
          <w:p w14:paraId="00000230">
            <w:pPr>
              <w:jc w:val="center"/>
              <w:rPr>
                <w:rFonts w:ascii="Times New Roman" w:cs="Times New Roman" w:hAnsi="Times New Roman"/>
                <w:sz w:val="24"/>
                <w:szCs w:val="24"/>
              </w:rPr>
            </w:pPr>
            <w:r>
              <w:rPr>
                <w:rFonts w:ascii="Times New Roman" w:cs="Times New Roman" w:hAnsi="Times New Roman"/>
                <w:sz w:val="24"/>
                <w:szCs w:val="24"/>
              </w:rPr>
              <w:t>350</w:t>
            </w:r>
          </w:p>
        </w:tc>
        <w:tc>
          <w:tcPr>
            <w:cnfStyle w:val="000000010000"/>
            <w:tcW w:w="954" w:type="dxa"/>
          </w:tcPr>
          <w:p w14:paraId="00000231">
            <w:pPr>
              <w:jc w:val="center"/>
              <w:rPr>
                <w:rFonts w:ascii="Times New Roman" w:cs="Times New Roman" w:hAnsi="Times New Roman"/>
                <w:sz w:val="24"/>
                <w:szCs w:val="24"/>
              </w:rPr>
            </w:pPr>
            <w:r>
              <w:rPr>
                <w:rFonts w:ascii="Times New Roman" w:cs="Times New Roman" w:hAnsi="Times New Roman"/>
                <w:sz w:val="24"/>
                <w:szCs w:val="24"/>
              </w:rPr>
              <w:t>338</w:t>
            </w:r>
          </w:p>
        </w:tc>
        <w:tc>
          <w:tcPr>
            <w:cnfStyle w:val="000000010000"/>
            <w:tcW w:w="1007" w:type="dxa"/>
          </w:tcPr>
          <w:p w14:paraId="00000232">
            <w:pPr>
              <w:jc w:val="center"/>
              <w:rPr>
                <w:rFonts w:ascii="Times New Roman" w:cs="Times New Roman" w:hAnsi="Times New Roman"/>
                <w:sz w:val="24"/>
                <w:szCs w:val="24"/>
              </w:rPr>
            </w:pPr>
            <w:r>
              <w:rPr>
                <w:rFonts w:ascii="Times New Roman" w:cs="Times New Roman" w:hAnsi="Times New Roman"/>
                <w:sz w:val="24"/>
                <w:szCs w:val="24"/>
              </w:rPr>
              <w:t>330</w:t>
            </w:r>
          </w:p>
        </w:tc>
        <w:tc>
          <w:tcPr>
            <w:cnfStyle w:val="000000010000"/>
            <w:tcW w:w="2534" w:type="dxa"/>
          </w:tcPr>
          <w:p w14:paraId="00000233">
            <w:pPr>
              <w:jc w:val="center"/>
              <w:rPr>
                <w:rFonts w:ascii="Times New Roman" w:cs="Times New Roman" w:hAnsi="Times New Roman"/>
                <w:sz w:val="24"/>
                <w:szCs w:val="24"/>
              </w:rPr>
            </w:pPr>
            <w:r>
              <w:rPr>
                <w:rFonts w:ascii="Times New Roman" w:cs="Times New Roman" w:hAnsi="Times New Roman"/>
                <w:sz w:val="24"/>
                <w:szCs w:val="24"/>
              </w:rPr>
              <w:t>–5,7%</w:t>
            </w:r>
          </w:p>
        </w:tc>
      </w:tr>
      <w:tr>
        <w:trPr/>
        <w:tc>
          <w:tcPr>
            <w:cnfStyle w:val="001000100000"/>
            <w:tcW w:w="3604" w:type="dxa"/>
          </w:tcPr>
          <w:p w14:paraId="00000234">
            <w:pPr>
              <w:jc w:val="both"/>
              <w:rPr>
                <w:rFonts w:ascii="Times New Roman" w:cs="Times New Roman" w:hAnsi="Times New Roman"/>
                <w:sz w:val="24"/>
                <w:szCs w:val="24"/>
              </w:rPr>
            </w:pPr>
            <w:r>
              <w:rPr>
                <w:rFonts w:ascii="Times New Roman" w:cs="Times New Roman" w:hAnsi="Times New Roman"/>
                <w:sz w:val="24"/>
                <w:szCs w:val="24"/>
              </w:rPr>
              <w:t>Доля ИЖС в общем вводе, %</w:t>
            </w:r>
          </w:p>
        </w:tc>
        <w:tc>
          <w:tcPr>
            <w:cnfStyle w:val="000000100000"/>
            <w:tcW w:w="1252" w:type="dxa"/>
          </w:tcPr>
          <w:p w14:paraId="00000235">
            <w:pPr>
              <w:jc w:val="center"/>
              <w:rPr>
                <w:rFonts w:ascii="Times New Roman" w:cs="Times New Roman" w:hAnsi="Times New Roman"/>
                <w:sz w:val="24"/>
                <w:szCs w:val="24"/>
              </w:rPr>
            </w:pPr>
            <w:r>
              <w:rPr>
                <w:rFonts w:ascii="Times New Roman" w:cs="Times New Roman" w:hAnsi="Times New Roman"/>
                <w:sz w:val="24"/>
                <w:szCs w:val="24"/>
              </w:rPr>
              <w:t>56,5</w:t>
            </w:r>
          </w:p>
        </w:tc>
        <w:tc>
          <w:tcPr>
            <w:cnfStyle w:val="000000100000"/>
            <w:tcW w:w="954" w:type="dxa"/>
          </w:tcPr>
          <w:p w14:paraId="00000236">
            <w:pPr>
              <w:jc w:val="center"/>
              <w:rPr>
                <w:rFonts w:ascii="Times New Roman" w:cs="Times New Roman" w:hAnsi="Times New Roman"/>
                <w:sz w:val="24"/>
                <w:szCs w:val="24"/>
              </w:rPr>
            </w:pPr>
            <w:r>
              <w:rPr>
                <w:rFonts w:ascii="Times New Roman" w:cs="Times New Roman" w:hAnsi="Times New Roman"/>
                <w:sz w:val="24"/>
                <w:szCs w:val="24"/>
              </w:rPr>
              <w:t>55,9</w:t>
            </w:r>
          </w:p>
        </w:tc>
        <w:tc>
          <w:tcPr>
            <w:cnfStyle w:val="000000100000"/>
            <w:tcW w:w="1007" w:type="dxa"/>
          </w:tcPr>
          <w:p w14:paraId="00000237">
            <w:pPr>
              <w:jc w:val="center"/>
              <w:rPr>
                <w:rFonts w:ascii="Times New Roman" w:cs="Times New Roman" w:hAnsi="Times New Roman"/>
                <w:sz w:val="24"/>
                <w:szCs w:val="24"/>
              </w:rPr>
            </w:pPr>
            <w:r>
              <w:rPr>
                <w:rFonts w:ascii="Times New Roman" w:cs="Times New Roman" w:hAnsi="Times New Roman"/>
                <w:sz w:val="24"/>
                <w:szCs w:val="24"/>
              </w:rPr>
              <w:t>55,9</w:t>
            </w:r>
          </w:p>
        </w:tc>
        <w:tc>
          <w:tcPr>
            <w:cnfStyle w:val="000000100000"/>
            <w:tcW w:w="2534" w:type="dxa"/>
          </w:tcPr>
          <w:p w14:paraId="00000238">
            <w:pPr>
              <w:jc w:val="center"/>
              <w:rPr>
                <w:rFonts w:ascii="Times New Roman" w:cs="Times New Roman" w:hAnsi="Times New Roman"/>
                <w:sz w:val="24"/>
                <w:szCs w:val="24"/>
              </w:rPr>
            </w:pPr>
            <w:r>
              <w:rPr>
                <w:rFonts w:ascii="Times New Roman" w:cs="Times New Roman" w:hAnsi="Times New Roman"/>
                <w:sz w:val="24"/>
                <w:szCs w:val="24"/>
              </w:rPr>
              <w:t>–0,6 п.п.</w:t>
            </w:r>
          </w:p>
        </w:tc>
      </w:tr>
    </w:tbl>
    <w:p w14:paraId="00000239">
      <w:pPr>
        <w:spacing w:beforeAutospacing="0" w:after="0" w:afterAutospacing="0" w:line="360" w:lineRule="auto"/>
        <w:ind w:firstLine="709"/>
        <w:jc w:val="both"/>
        <w:rPr>
          <w:rFonts w:ascii="Times New Roman" w:cs="Times New Roman" w:hAnsi="Times New Roman"/>
          <w:sz w:val="28"/>
          <w:szCs w:val="28"/>
        </w:rPr>
      </w:pPr>
    </w:p>
    <w:p w14:paraId="0000023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Ввод жилья в Пензенской области демонстрирует снижение (около 5%). Доля индивидуального жилищного строительства стабильна и превышает 55%. ИЖС является основным потребителем облицовочного гиперпрессованного кирпича, что подтверждает наличие спроса на продукцию.</w:t>
      </w:r>
    </w:p>
    <w:p w14:paraId="0000023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 данным Национального рейтингового агентства, импортная составляющая в индустрии строительных материалов составляет менее 4% [62]. Кирпич производится из отечественного сырья, что делает отрасль защищённой от санкционных ограничений. Гиперпрессованный кирпич использует отсевы дробления известняка, добываемого в России, и портландцемент, который производится внутри страны. Это конкурентное преимущество, позволяющее не зависеть от импортных поставок.</w:t>
      </w:r>
    </w:p>
    <w:p w14:paraId="0000023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 оценкам аналитического агентства «СтройИнфо», объём рынка гиперпрессованного кирпича в Приволжском федеральном округе составляет 15–20 млн штук в год, из которых на Пензенскую область приходится около 2–3 млн штук. Практически вся эта продукция завозится из других регионов, преимущественно из Центрального округа (Тульская область, Московская область). Стоимость доставки до Пензы составляет 5–8 руб./шт., что делает конечную цену для потребителя на 20–30% выше, чем у местного производителя [58]. Следовательно, локализация производства может стать фактором ценовой устойчивости регионального рынка.</w:t>
      </w:r>
    </w:p>
    <w:p w14:paraId="0000023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Эксперты прогнозируют, что к 2030 году производство кирпича в России может стабилизироваться на уровне 1,5–1,6 млрд условных штук в год (базовый сценарий) или снизиться до 1,1 млрд (пессимистичный). При этом наиболее устойчивыми останутся сегменты качественного облицовочного кирпича и гиперпрессованного кирпича, так как они востребованы в малосерийном и индивидуальном строительстве [58].</w:t>
      </w:r>
    </w:p>
    <w:p w14:paraId="0000023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Пензенской области создание собственного производства гиперпрессованного кирпича позволит:</w:t>
      </w:r>
    </w:p>
    <w:p w14:paraId="0000023F">
      <w:pPr>
        <w:spacing w:beforeAutospacing="0" w:after="0" w:afterAutospacing="0" w:line="360" w:lineRule="auto"/>
        <w:ind w:left="708"/>
        <w:jc w:val="both"/>
        <w:rPr>
          <w:rFonts w:ascii="Times New Roman" w:cs="Times New Roman" w:hAnsi="Times New Roman"/>
          <w:sz w:val="28"/>
          <w:szCs w:val="28"/>
        </w:rPr>
      </w:pPr>
      <w:r>
        <w:rPr>
          <w:rFonts w:ascii="Times New Roman" w:cs="Times New Roman" w:hAnsi="Times New Roman"/>
          <w:sz w:val="28"/>
          <w:szCs w:val="28"/>
        </w:rPr>
        <w:t>1) заместить импортную и межрегиональную продукцию;</w:t>
      </w:r>
    </w:p>
    <w:p w14:paraId="00000240">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снизить цены для потребителей за счёт отсутствия транспортных расходов;</w:t>
      </w:r>
    </w:p>
    <w:p w14:paraId="00000241">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3) создать новые рабочие места;</w:t>
      </w:r>
    </w:p>
    <w:p w14:paraId="00000242">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4) увеличить налоговые поступления в бюджет региона [58].</w:t>
      </w:r>
    </w:p>
    <w:p w14:paraId="00000243">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 xml:space="preserve">Кроме того, проект усиливает промышленную самостоятельность региона. </w:t>
      </w:r>
    </w:p>
    <w:p w14:paraId="00000244">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В таблице 2.4 прогноз развития рынка гиперпрессованного кирпича в Пензенской области до 2030 года (тыс. шт.). Вывод по таблице 2.4: при успешной реализации проекта предприятие сможет не только полностью обеспечить потребности Пензенской области в гиперпрессованном кирпиче, но и поставлять продукцию в соседние регионы. Прогнозируемый рост спроса составит около 3,5% в год за счёт развития ИЖС.</w:t>
      </w:r>
    </w:p>
    <w:p w14:paraId="00000245">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sz w:val="28"/>
          <w:szCs w:val="28"/>
        </w:rPr>
        <w:t>Таблица 2.4 – Прогноз развития рынка гиперпрессованного кирпича в Пензенской области до 2030 года (тыс. шт.)</w:t>
      </w:r>
      <w:r>
        <w:t xml:space="preserve"> </w:t>
      </w:r>
      <w:r>
        <w:rPr>
          <w:rFonts w:ascii="Times New Roman" w:cs="Times New Roman" w:hAnsi="Times New Roman"/>
          <w:sz w:val="28"/>
          <w:szCs w:val="28"/>
        </w:rPr>
        <w:t>[59]</w:t>
      </w:r>
    </w:p>
    <w:tbl>
      <w:tblPr>
        <w:tblStyle w:val="TableGrid"/>
        <w:tblW w:w="0" w:type="auto"/>
        <w:jc w:val="center"/>
        <w:tblLook w:val="04A0"/>
      </w:tblPr>
      <w:tblGrid>
        <w:gridCol w:w="3786"/>
        <w:gridCol w:w="1211"/>
        <w:gridCol w:w="1207"/>
        <w:gridCol w:w="1359"/>
        <w:gridCol w:w="1782"/>
      </w:tblGrid>
      <w:tr>
        <w:trPr>
          <w:jc w:val="center"/>
        </w:trPr>
        <w:tc>
          <w:tcPr>
            <w:cnfStyle w:val="101000000000"/>
            <w:tcW w:w="3786" w:type="dxa"/>
          </w:tcPr>
          <w:p w14:paraId="00000246">
            <w:pPr>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cnfStyle w:val="100000000000"/>
            <w:tcW w:w="1211" w:type="dxa"/>
          </w:tcPr>
          <w:p w14:paraId="00000247">
            <w:pPr>
              <w:jc w:val="center"/>
              <w:rPr>
                <w:rFonts w:ascii="Times New Roman" w:cs="Times New Roman" w:hAnsi="Times New Roman"/>
                <w:sz w:val="24"/>
                <w:szCs w:val="24"/>
              </w:rPr>
            </w:pPr>
            <w:r>
              <w:rPr>
                <w:rFonts w:ascii="Times New Roman" w:cs="Times New Roman" w:hAnsi="Times New Roman"/>
                <w:sz w:val="24"/>
                <w:szCs w:val="24"/>
              </w:rPr>
              <w:t>2025 (оценка)</w:t>
            </w:r>
          </w:p>
        </w:tc>
        <w:tc>
          <w:tcPr>
            <w:cnfStyle w:val="100000000000"/>
            <w:tcW w:w="1207" w:type="dxa"/>
          </w:tcPr>
          <w:p w14:paraId="00000248">
            <w:pPr>
              <w:jc w:val="center"/>
              <w:rPr>
                <w:rFonts w:ascii="Times New Roman" w:cs="Times New Roman" w:hAnsi="Times New Roman"/>
                <w:sz w:val="24"/>
                <w:szCs w:val="24"/>
              </w:rPr>
            </w:pPr>
            <w:r>
              <w:rPr>
                <w:rFonts w:ascii="Times New Roman" w:cs="Times New Roman" w:hAnsi="Times New Roman"/>
                <w:sz w:val="24"/>
                <w:szCs w:val="24"/>
              </w:rPr>
              <w:t>2027 (прогноз)</w:t>
            </w:r>
          </w:p>
        </w:tc>
        <w:tc>
          <w:tcPr>
            <w:cnfStyle w:val="100000000000"/>
            <w:tcW w:w="1359" w:type="dxa"/>
          </w:tcPr>
          <w:p w14:paraId="00000249">
            <w:pPr>
              <w:jc w:val="center"/>
              <w:rPr>
                <w:rFonts w:ascii="Times New Roman" w:cs="Times New Roman" w:hAnsi="Times New Roman"/>
                <w:sz w:val="24"/>
                <w:szCs w:val="24"/>
              </w:rPr>
            </w:pPr>
            <w:r>
              <w:rPr>
                <w:rFonts w:ascii="Times New Roman" w:cs="Times New Roman" w:hAnsi="Times New Roman"/>
                <w:sz w:val="24"/>
                <w:szCs w:val="24"/>
              </w:rPr>
              <w:t>2030 (прогноз)</w:t>
            </w:r>
          </w:p>
        </w:tc>
        <w:tc>
          <w:tcPr>
            <w:cnfStyle w:val="100000000000"/>
            <w:tcW w:w="1782" w:type="dxa"/>
          </w:tcPr>
          <w:p w14:paraId="0000024A">
            <w:pPr>
              <w:jc w:val="center"/>
              <w:rPr>
                <w:rFonts w:ascii="Times New Roman" w:cs="Times New Roman" w:hAnsi="Times New Roman"/>
                <w:sz w:val="24"/>
                <w:szCs w:val="24"/>
              </w:rPr>
            </w:pPr>
            <w:r>
              <w:rPr>
                <w:rFonts w:ascii="Times New Roman" w:cs="Times New Roman" w:hAnsi="Times New Roman"/>
                <w:sz w:val="24"/>
                <w:szCs w:val="24"/>
              </w:rPr>
              <w:t>Среднегодовой темп, %</w:t>
            </w:r>
          </w:p>
        </w:tc>
      </w:tr>
      <w:tr>
        <w:trPr>
          <w:jc w:val="center"/>
        </w:trPr>
        <w:tc>
          <w:tcPr>
            <w:cnfStyle w:val="001000100000"/>
            <w:tcW w:w="3786" w:type="dxa"/>
          </w:tcPr>
          <w:p w14:paraId="0000024B">
            <w:pPr>
              <w:jc w:val="both"/>
              <w:rPr>
                <w:rFonts w:ascii="Times New Roman" w:cs="Times New Roman" w:hAnsi="Times New Roman"/>
                <w:sz w:val="24"/>
                <w:szCs w:val="24"/>
              </w:rPr>
            </w:pPr>
            <w:r>
              <w:rPr>
                <w:rFonts w:ascii="Times New Roman" w:cs="Times New Roman" w:hAnsi="Times New Roman"/>
                <w:sz w:val="24"/>
                <w:szCs w:val="24"/>
              </w:rPr>
              <w:t>Объём рынка (потребление)</w:t>
            </w:r>
          </w:p>
        </w:tc>
        <w:tc>
          <w:tcPr>
            <w:cnfStyle w:val="000000100000"/>
            <w:tcW w:w="1211" w:type="dxa"/>
          </w:tcPr>
          <w:p w14:paraId="0000024C">
            <w:pPr>
              <w:jc w:val="center"/>
              <w:rPr>
                <w:rFonts w:ascii="Times New Roman" w:cs="Times New Roman" w:hAnsi="Times New Roman"/>
                <w:sz w:val="24"/>
                <w:szCs w:val="24"/>
              </w:rPr>
            </w:pPr>
            <w:r>
              <w:rPr>
                <w:rFonts w:ascii="Times New Roman" w:cs="Times New Roman" w:hAnsi="Times New Roman"/>
                <w:sz w:val="24"/>
                <w:szCs w:val="24"/>
              </w:rPr>
              <w:t>2 500</w:t>
            </w:r>
          </w:p>
        </w:tc>
        <w:tc>
          <w:tcPr>
            <w:cnfStyle w:val="000000100000"/>
            <w:tcW w:w="1207" w:type="dxa"/>
          </w:tcPr>
          <w:p w14:paraId="0000024D">
            <w:pPr>
              <w:jc w:val="center"/>
              <w:rPr>
                <w:rFonts w:ascii="Times New Roman" w:cs="Times New Roman" w:hAnsi="Times New Roman"/>
                <w:sz w:val="24"/>
                <w:szCs w:val="24"/>
              </w:rPr>
            </w:pPr>
            <w:r>
              <w:rPr>
                <w:rFonts w:ascii="Times New Roman" w:cs="Times New Roman" w:hAnsi="Times New Roman"/>
                <w:sz w:val="24"/>
                <w:szCs w:val="24"/>
              </w:rPr>
              <w:t>2 800</w:t>
            </w:r>
          </w:p>
        </w:tc>
        <w:tc>
          <w:tcPr>
            <w:cnfStyle w:val="000000100000"/>
            <w:tcW w:w="1359" w:type="dxa"/>
          </w:tcPr>
          <w:p w14:paraId="0000024E">
            <w:pPr>
              <w:jc w:val="center"/>
              <w:rPr>
                <w:rFonts w:ascii="Times New Roman" w:cs="Times New Roman" w:hAnsi="Times New Roman"/>
                <w:sz w:val="24"/>
                <w:szCs w:val="24"/>
              </w:rPr>
            </w:pPr>
            <w:r>
              <w:rPr>
                <w:rFonts w:ascii="Times New Roman" w:cs="Times New Roman" w:hAnsi="Times New Roman"/>
                <w:sz w:val="24"/>
                <w:szCs w:val="24"/>
              </w:rPr>
              <w:t>3 500</w:t>
            </w:r>
          </w:p>
        </w:tc>
        <w:tc>
          <w:tcPr>
            <w:cnfStyle w:val="000000100000"/>
            <w:tcW w:w="1782" w:type="dxa"/>
          </w:tcPr>
          <w:p w14:paraId="0000024F">
            <w:pPr>
              <w:jc w:val="center"/>
              <w:rPr>
                <w:rFonts w:ascii="Times New Roman" w:cs="Times New Roman" w:hAnsi="Times New Roman"/>
                <w:sz w:val="24"/>
                <w:szCs w:val="24"/>
              </w:rPr>
            </w:pPr>
            <w:r>
              <w:rPr>
                <w:rFonts w:ascii="Times New Roman" w:cs="Times New Roman" w:hAnsi="Times New Roman"/>
                <w:sz w:val="24"/>
                <w:szCs w:val="24"/>
              </w:rPr>
              <w:t>+3,5%</w:t>
            </w:r>
          </w:p>
        </w:tc>
      </w:tr>
      <w:tr>
        <w:trPr>
          <w:jc w:val="center"/>
        </w:trPr>
        <w:tc>
          <w:tcPr>
            <w:cnfStyle w:val="001000010000"/>
            <w:tcW w:w="3786" w:type="dxa"/>
          </w:tcPr>
          <w:p w14:paraId="00000250">
            <w:pPr>
              <w:jc w:val="both"/>
              <w:rPr>
                <w:rFonts w:ascii="Times New Roman" w:cs="Times New Roman" w:hAnsi="Times New Roman"/>
                <w:sz w:val="24"/>
                <w:szCs w:val="24"/>
              </w:rPr>
            </w:pPr>
            <w:r>
              <w:rPr>
                <w:rFonts w:ascii="Times New Roman" w:cs="Times New Roman" w:hAnsi="Times New Roman"/>
                <w:sz w:val="24"/>
                <w:szCs w:val="24"/>
              </w:rPr>
              <w:t>Местное производство</w:t>
            </w:r>
          </w:p>
        </w:tc>
        <w:tc>
          <w:tcPr>
            <w:cnfStyle w:val="000000010000"/>
            <w:tcW w:w="1211" w:type="dxa"/>
          </w:tcPr>
          <w:p w14:paraId="00000251">
            <w:pPr>
              <w:jc w:val="center"/>
              <w:rPr>
                <w:rFonts w:ascii="Times New Roman" w:cs="Times New Roman" w:hAnsi="Times New Roman"/>
                <w:sz w:val="24"/>
                <w:szCs w:val="24"/>
              </w:rPr>
            </w:pPr>
            <w:r>
              <w:rPr>
                <w:rFonts w:ascii="Times New Roman" w:cs="Times New Roman" w:hAnsi="Times New Roman"/>
                <w:sz w:val="24"/>
                <w:szCs w:val="24"/>
              </w:rPr>
              <w:t>0</w:t>
            </w:r>
          </w:p>
        </w:tc>
        <w:tc>
          <w:tcPr>
            <w:cnfStyle w:val="000000010000"/>
            <w:tcW w:w="1207" w:type="dxa"/>
          </w:tcPr>
          <w:p w14:paraId="00000252">
            <w:pPr>
              <w:jc w:val="center"/>
              <w:rPr>
                <w:rFonts w:ascii="Times New Roman" w:cs="Times New Roman" w:hAnsi="Times New Roman"/>
                <w:sz w:val="24"/>
                <w:szCs w:val="24"/>
              </w:rPr>
            </w:pPr>
            <w:r>
              <w:rPr>
                <w:rFonts w:ascii="Times New Roman" w:cs="Times New Roman" w:hAnsi="Times New Roman"/>
                <w:sz w:val="24"/>
                <w:szCs w:val="24"/>
              </w:rPr>
              <w:t>5 000</w:t>
            </w:r>
          </w:p>
        </w:tc>
        <w:tc>
          <w:tcPr>
            <w:cnfStyle w:val="000000010000"/>
            <w:tcW w:w="1359" w:type="dxa"/>
          </w:tcPr>
          <w:p w14:paraId="00000253">
            <w:pPr>
              <w:jc w:val="center"/>
              <w:rPr>
                <w:rFonts w:ascii="Times New Roman" w:cs="Times New Roman" w:hAnsi="Times New Roman"/>
                <w:sz w:val="24"/>
                <w:szCs w:val="24"/>
              </w:rPr>
            </w:pPr>
            <w:r>
              <w:rPr>
                <w:rFonts w:ascii="Times New Roman" w:cs="Times New Roman" w:hAnsi="Times New Roman"/>
                <w:sz w:val="24"/>
                <w:szCs w:val="24"/>
              </w:rPr>
              <w:t>8 000</w:t>
            </w:r>
          </w:p>
        </w:tc>
        <w:tc>
          <w:tcPr>
            <w:cnfStyle w:val="000000010000"/>
            <w:tcW w:w="1782" w:type="dxa"/>
          </w:tcPr>
          <w:p w14:paraId="00000254">
            <w:pPr>
              <w:jc w:val="center"/>
              <w:rPr>
                <w:rFonts w:ascii="Times New Roman" w:cs="Times New Roman" w:hAnsi="Times New Roman"/>
                <w:sz w:val="24"/>
                <w:szCs w:val="24"/>
              </w:rPr>
            </w:pPr>
            <w:r>
              <w:rPr>
                <w:rFonts w:ascii="Times New Roman" w:cs="Times New Roman" w:hAnsi="Times New Roman"/>
                <w:sz w:val="24"/>
                <w:szCs w:val="24"/>
              </w:rPr>
              <w:t>–</w:t>
            </w:r>
          </w:p>
        </w:tc>
      </w:tr>
      <w:tr>
        <w:trPr>
          <w:jc w:val="center"/>
        </w:trPr>
        <w:tc>
          <w:tcPr>
            <w:cnfStyle w:val="001000100000"/>
            <w:tcW w:w="3786" w:type="dxa"/>
          </w:tcPr>
          <w:p w14:paraId="00000255">
            <w:pPr>
              <w:jc w:val="both"/>
              <w:rPr>
                <w:rFonts w:ascii="Times New Roman" w:cs="Times New Roman" w:hAnsi="Times New Roman"/>
                <w:sz w:val="24"/>
                <w:szCs w:val="24"/>
              </w:rPr>
            </w:pPr>
            <w:r>
              <w:rPr>
                <w:rFonts w:ascii="Times New Roman" w:cs="Times New Roman" w:hAnsi="Times New Roman"/>
                <w:sz w:val="24"/>
                <w:szCs w:val="24"/>
              </w:rPr>
              <w:t>Доля местного производства на рынке, %</w:t>
            </w:r>
          </w:p>
        </w:tc>
        <w:tc>
          <w:tcPr>
            <w:cnfStyle w:val="000000100000"/>
            <w:tcW w:w="1211" w:type="dxa"/>
          </w:tcPr>
          <w:p w14:paraId="00000256">
            <w:pPr>
              <w:jc w:val="center"/>
              <w:rPr>
                <w:rFonts w:ascii="Times New Roman" w:cs="Times New Roman" w:hAnsi="Times New Roman"/>
                <w:sz w:val="24"/>
                <w:szCs w:val="24"/>
              </w:rPr>
            </w:pPr>
            <w:r>
              <w:rPr>
                <w:rFonts w:ascii="Times New Roman" w:cs="Times New Roman" w:hAnsi="Times New Roman"/>
                <w:sz w:val="24"/>
                <w:szCs w:val="24"/>
              </w:rPr>
              <w:t>0</w:t>
            </w:r>
          </w:p>
        </w:tc>
        <w:tc>
          <w:tcPr>
            <w:cnfStyle w:val="000000100000"/>
            <w:tcW w:w="1207" w:type="dxa"/>
          </w:tcPr>
          <w:p w14:paraId="00000257">
            <w:pPr>
              <w:jc w:val="center"/>
              <w:rPr>
                <w:rFonts w:ascii="Times New Roman" w:cs="Times New Roman" w:hAnsi="Times New Roman"/>
                <w:sz w:val="24"/>
                <w:szCs w:val="24"/>
              </w:rPr>
            </w:pPr>
            <w:r>
              <w:rPr>
                <w:rFonts w:ascii="Times New Roman" w:cs="Times New Roman" w:hAnsi="Times New Roman"/>
                <w:sz w:val="24"/>
                <w:szCs w:val="24"/>
              </w:rPr>
              <w:t>60</w:t>
            </w:r>
          </w:p>
        </w:tc>
        <w:tc>
          <w:tcPr>
            <w:cnfStyle w:val="000000100000"/>
            <w:tcW w:w="1359" w:type="dxa"/>
          </w:tcPr>
          <w:p w14:paraId="00000258">
            <w:pPr>
              <w:jc w:val="center"/>
              <w:rPr>
                <w:rFonts w:ascii="Times New Roman" w:cs="Times New Roman" w:hAnsi="Times New Roman"/>
                <w:sz w:val="24"/>
                <w:szCs w:val="24"/>
              </w:rPr>
            </w:pPr>
            <w:r>
              <w:rPr>
                <w:rFonts w:ascii="Times New Roman" w:cs="Times New Roman" w:hAnsi="Times New Roman"/>
                <w:sz w:val="24"/>
                <w:szCs w:val="24"/>
              </w:rPr>
              <w:t>70</w:t>
            </w:r>
          </w:p>
        </w:tc>
        <w:tc>
          <w:tcPr>
            <w:cnfStyle w:val="000000100000"/>
            <w:tcW w:w="1782" w:type="dxa"/>
          </w:tcPr>
          <w:p w14:paraId="00000259">
            <w:pPr>
              <w:jc w:val="center"/>
              <w:rPr>
                <w:rFonts w:ascii="Times New Roman" w:cs="Times New Roman" w:hAnsi="Times New Roman"/>
                <w:sz w:val="24"/>
                <w:szCs w:val="24"/>
              </w:rPr>
            </w:pPr>
            <w:r>
              <w:rPr>
                <w:rFonts w:ascii="Times New Roman" w:cs="Times New Roman" w:hAnsi="Times New Roman"/>
                <w:sz w:val="24"/>
                <w:szCs w:val="24"/>
              </w:rPr>
              <w:t>–</w:t>
            </w:r>
          </w:p>
        </w:tc>
      </w:tr>
    </w:tbl>
    <w:p w14:paraId="0000025A">
      <w:pPr>
        <w:spacing w:beforeAutospacing="0" w:after="0" w:afterAutospacing="0" w:line="360" w:lineRule="auto"/>
        <w:ind w:firstLine="709"/>
        <w:jc w:val="both"/>
        <w:rPr>
          <w:rFonts w:ascii="Times New Roman" w:cs="Times New Roman" w:hAnsi="Times New Roman"/>
          <w:b/>
          <w:bCs/>
          <w:sz w:val="28"/>
          <w:szCs w:val="28"/>
        </w:rPr>
      </w:pPr>
    </w:p>
    <w:p w14:paraId="0000025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Проведённый анализ позволяет сделать следующие выводы. Российский рынок строительного кирпича находится в фазе спада, что обусловлено макроэкономическими факторами. Однако сегмент гиперпрессованного кирпича имеет потенциал благодаря ориентации на качественную облицовочную продукцию и ИЖС. Пензенская область характеризуется дефицитом локального производства гиперпрессованного кирпича: практически вся продукция завозится из других регионов, что удорожает её на 20–30%. Ввод жилья в регионе, особенно в сегменте ИЖС, создаёт устойчивый спрос. Создание собственного производства позволит заместить привозную продукцию, обеспечить более низкие цены и занять значительную долю рынка.</w:t>
      </w:r>
    </w:p>
    <w:p w14:paraId="0000025C">
      <w:pPr>
        <w:spacing w:beforeAutospacing="0" w:after="0" w:afterAutospacing="0" w:line="360" w:lineRule="auto"/>
        <w:ind w:firstLine="709"/>
        <w:jc w:val="both"/>
        <w:rPr>
          <w:rFonts w:ascii="Times New Roman" w:cs="Times New Roman" w:hAnsi="Times New Roman"/>
          <w:sz w:val="28"/>
          <w:szCs w:val="28"/>
        </w:rPr>
      </w:pPr>
    </w:p>
    <w:p w14:paraId="0000025D">
      <w:pPr>
        <w:spacing w:beforeAutospacing="0" w:after="0" w:afterAutospacing="0" w:line="360" w:lineRule="auto"/>
        <w:ind w:firstLine="709"/>
        <w:jc w:val="both"/>
        <w:rPr>
          <w:rFonts w:ascii="Times New Roman" w:cs="Times New Roman" w:hAnsi="Times New Roman"/>
          <w:sz w:val="28"/>
          <w:szCs w:val="28"/>
        </w:rPr>
      </w:pPr>
    </w:p>
    <w:p w14:paraId="0000025E">
      <w:pPr>
        <w:pStyle w:val="Heading1"/>
        <w:spacing w:before="0" w:beforeAutospacing="0" w:afterAutospacing="0" w:line="360" w:lineRule="auto"/>
        <w:ind w:firstLine="709"/>
        <w:jc w:val="both"/>
        <w:rPr/>
      </w:pPr>
      <w:bookmarkStart w:id="3" w:name="_Toc232406678"/>
      <w:r>
        <w:rPr>
          <w:rFonts w:ascii="Times New Roman" w:cs="Times New Roman" w:hAnsi="Times New Roman"/>
          <w:b/>
          <w:bCs/>
          <w:color w:val="auto"/>
          <w:sz w:val="28"/>
          <w:szCs w:val="28"/>
        </w:rPr>
        <w:t>2.2 Исследование конкурентов и оценка их конкурентных преимуществ</w:t>
      </w:r>
      <w:bookmarkEnd w:id="3"/>
    </w:p>
    <w:p w14:paraId="0000025F">
      <w:pPr>
        <w:spacing w:beforeAutospacing="0" w:after="0" w:afterAutospacing="0" w:line="360" w:lineRule="auto"/>
        <w:ind w:firstLine="709"/>
        <w:jc w:val="both"/>
        <w:rPr>
          <w:rFonts w:ascii="Times New Roman" w:cs="Times New Roman" w:hAnsi="Times New Roman"/>
          <w:bCs/>
          <w:sz w:val="28"/>
          <w:szCs w:val="28"/>
        </w:rPr>
      </w:pPr>
    </w:p>
    <w:p w14:paraId="00000260">
      <w:pPr>
        <w:spacing w:beforeAutospacing="0" w:after="0" w:afterAutospacing="0" w:line="360" w:lineRule="auto"/>
        <w:ind w:firstLine="709"/>
        <w:jc w:val="both"/>
        <w:rPr>
          <w:rFonts w:ascii="Times New Roman" w:cs="Times New Roman" w:hAnsi="Times New Roman"/>
          <w:bCs/>
          <w:sz w:val="28"/>
          <w:szCs w:val="28"/>
        </w:rPr>
      </w:pPr>
    </w:p>
    <w:p w14:paraId="00000261">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Для успешного выхода на рынок необходимо детально изучить конкурентную среду: выявить основных игроков, их сильные и слабые стороны, стратегии ценообразования и продвижения. </w:t>
      </w:r>
      <w:r>
        <w:rPr>
          <w:rFonts w:ascii="Times New Roman" w:cs="Times New Roman" w:hAnsi="Times New Roman"/>
          <w:bCs/>
          <w:sz w:val="28"/>
          <w:szCs w:val="28"/>
        </w:rPr>
        <w:t>Далее</w:t>
      </w:r>
      <w:r>
        <w:rPr>
          <w:rFonts w:ascii="Times New Roman" w:cs="Times New Roman" w:hAnsi="Times New Roman"/>
          <w:bCs/>
          <w:sz w:val="28"/>
          <w:szCs w:val="28"/>
        </w:rPr>
        <w:t xml:space="preserve"> рассматриваются прямые </w:t>
      </w:r>
      <w:r>
        <w:rPr>
          <w:rFonts w:ascii="Times New Roman" w:cs="Times New Roman" w:hAnsi="Times New Roman"/>
          <w:bCs/>
          <w:sz w:val="28"/>
          <w:szCs w:val="28"/>
        </w:rPr>
        <w:t xml:space="preserve">и косвенные </w:t>
      </w:r>
      <w:r>
        <w:rPr>
          <w:rFonts w:ascii="Times New Roman" w:cs="Times New Roman" w:hAnsi="Times New Roman"/>
          <w:bCs/>
          <w:sz w:val="28"/>
          <w:szCs w:val="28"/>
        </w:rPr>
        <w:t xml:space="preserve">конкуренты проектируемого предприятия. Такой анализ позволит определить потенциальные конкурентные преимущества </w:t>
      </w:r>
      <w:r>
        <w:rPr>
          <w:rFonts w:ascii="Times New Roman" w:cs="Times New Roman" w:hAnsi="Times New Roman"/>
          <w:bCs/>
          <w:sz w:val="28"/>
          <w:szCs w:val="28"/>
        </w:rPr>
        <w:t>организации</w:t>
      </w:r>
      <w:r>
        <w:rPr>
          <w:rFonts w:ascii="Times New Roman" w:cs="Times New Roman" w:hAnsi="Times New Roman"/>
          <w:bCs/>
          <w:sz w:val="28"/>
          <w:szCs w:val="28"/>
        </w:rPr>
        <w:t xml:space="preserve"> и выбрать оптимальную стратегию позиционирования.</w:t>
      </w:r>
    </w:p>
    <w:p w14:paraId="00000262">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Рынок строительного кирпича в Пензенской области характеризуется умеренным уровнем конкуренции. Основными производителями кирпича в регионе являются:</w:t>
      </w:r>
    </w:p>
    <w:p w14:paraId="00000263">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1) Пензенский кирпичный завод – производит керамический кирпич (рядовой, облицовочный), мощность – 25 млн шт./год;</w:t>
      </w:r>
    </w:p>
    <w:p w14:paraId="00000264">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2) Нижнеломовский кирпичный завод – производит керамический кирпич, мощность – 15 млн шт./год;</w:t>
      </w:r>
    </w:p>
    <w:p w14:paraId="00000265">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3) Кузнецкий кирпичный завод – производит силикатный кирпич, мощность – 10 млн шт./год;</w:t>
      </w:r>
    </w:p>
    <w:p w14:paraId="00000266">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4) завод «Пензенский строитель» – производит газобетонные блоки (конкурент косвенный).</w:t>
      </w:r>
    </w:p>
    <w:p w14:paraId="00000267">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Гиперпрессованный кирпич в Пензенской области не производится. Потребители вынуждены заказывать его у производителей из других регионов или приобретать альтернативные материалы (керамический облицовочный кирпич). Основные </w:t>
      </w:r>
      <w:r>
        <w:rPr>
          <w:rFonts w:ascii="Times New Roman" w:cs="Times New Roman" w:hAnsi="Times New Roman"/>
          <w:bCs/>
          <w:sz w:val="28"/>
          <w:szCs w:val="28"/>
        </w:rPr>
        <w:t xml:space="preserve">поставщики гиперпрессованного кирпича в Пензенской области будут рассмотрены далее. </w:t>
      </w:r>
    </w:p>
    <w:p w14:paraId="00000268">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Компания «Форвард Кирпич» (Московская область) – один из старейших производителей гиперпрессованного кирпича в России. Мощность – 20–30 млн шт./год. Ассортимент: более 10 цветов, 3 фактуры, рядовой и лицевой кирпич. Цена без доставки – 32–38 руб./шт. Доставка до Пензы – 5–7 руб./шт. Суммарная цена для пензенского потребителя – 37–45 руб./шт. Преимущества: узнаваемый бренд, качество. Недостатки: высокая цена, удалённость [54].</w:t>
      </w:r>
    </w:p>
    <w:p w14:paraId="00000269">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ГК BRAER (Тульская область) – производитель керамического и гиперпрессованного кирпича. Мощность – 140 млн шт./год. Цена гиперпрессованного кирпича – 35–45 руб./шт. Доставка до Пензы – 6–8 руб./шт. Преимущества: крупный производитель, широкий ассортимент. Недостатки: цена выше среднего [54].</w:t>
      </w:r>
    </w:p>
    <w:p w14:paraId="0000026A">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Компания «Федерация кирпича» (Самарская область) – ближайший к Пензе производитель гиперпрессованного кирпича. Мощность – 10 млн шт./год. Цена – 30–35 руб./шт. Доставка до Пензы – 3–5 руб./шт. Это </w:t>
      </w:r>
      <w:r>
        <w:rPr>
          <w:rFonts w:ascii="Times New Roman" w:cs="Times New Roman" w:hAnsi="Times New Roman"/>
          <w:bCs/>
          <w:sz w:val="28"/>
          <w:szCs w:val="28"/>
        </w:rPr>
        <w:t>наиболее близкий конкурент с точки зрения логистики. Однако ассортимент ограничен 5–6 цветами, а качество, по отзывам, не всегда стабильно [55].</w:t>
      </w:r>
    </w:p>
    <w:p w14:paraId="0000026B">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Таблица 2.5 – Основные поставщики гиперпрессованного кирпича на рынок Пензенской области</w:t>
      </w:r>
    </w:p>
    <w:tbl>
      <w:tblPr>
        <w:tblStyle w:val="TableGrid"/>
        <w:tblW w:w="9403" w:type="dxa"/>
        <w:jc w:val="center"/>
        <w:tblInd w:w="475" w:type="dxa"/>
        <w:tblLook w:val="04A0"/>
      </w:tblPr>
      <w:tblGrid>
        <w:gridCol w:w="1750"/>
        <w:gridCol w:w="1591"/>
        <w:gridCol w:w="1239"/>
        <w:gridCol w:w="1248"/>
        <w:gridCol w:w="1373"/>
        <w:gridCol w:w="961"/>
        <w:gridCol w:w="1238"/>
      </w:tblGrid>
      <w:tr>
        <w:trPr>
          <w:trHeight w:val="830" w:hRule="atLeast"/>
          <w:jc w:val="center"/>
        </w:trPr>
        <w:tc>
          <w:tcPr>
            <w:cnfStyle w:val="101000000000"/>
            <w:tcW w:w="1748" w:type="dxa"/>
          </w:tcPr>
          <w:p w14:paraId="0000026C">
            <w:pPr>
              <w:jc w:val="center"/>
              <w:rPr>
                <w:rFonts w:ascii="Times New Roman" w:cs="Times New Roman" w:hAnsi="Times New Roman"/>
                <w:bCs/>
                <w:sz w:val="24"/>
                <w:szCs w:val="24"/>
              </w:rPr>
            </w:pPr>
            <w:r>
              <w:rPr>
                <w:rFonts w:ascii="Times New Roman" w:cs="Times New Roman" w:hAnsi="Times New Roman"/>
                <w:bCs/>
                <w:sz w:val="24"/>
                <w:szCs w:val="24"/>
              </w:rPr>
              <w:t>Наименование</w:t>
            </w:r>
          </w:p>
        </w:tc>
        <w:tc>
          <w:tcPr>
            <w:cnfStyle w:val="100000000000"/>
            <w:tcW w:w="1590" w:type="dxa"/>
          </w:tcPr>
          <w:p w14:paraId="0000026D">
            <w:pPr>
              <w:jc w:val="center"/>
              <w:rPr>
                <w:rFonts w:ascii="Times New Roman" w:cs="Times New Roman" w:hAnsi="Times New Roman"/>
                <w:bCs/>
                <w:sz w:val="24"/>
                <w:szCs w:val="24"/>
              </w:rPr>
            </w:pPr>
            <w:r>
              <w:rPr>
                <w:rFonts w:ascii="Times New Roman" w:cs="Times New Roman" w:hAnsi="Times New Roman"/>
                <w:bCs/>
                <w:sz w:val="24"/>
                <w:szCs w:val="24"/>
              </w:rPr>
              <w:t>Место-</w:t>
            </w:r>
          </w:p>
          <w:p w14:paraId="0000026E">
            <w:pPr>
              <w:jc w:val="center"/>
              <w:rPr>
                <w:rFonts w:ascii="Times New Roman" w:cs="Times New Roman" w:hAnsi="Times New Roman"/>
                <w:bCs/>
                <w:sz w:val="24"/>
                <w:szCs w:val="24"/>
              </w:rPr>
            </w:pPr>
            <w:r>
              <w:rPr>
                <w:rFonts w:ascii="Times New Roman" w:cs="Times New Roman" w:hAnsi="Times New Roman"/>
                <w:bCs/>
                <w:sz w:val="24"/>
                <w:szCs w:val="24"/>
              </w:rPr>
              <w:t>положение</w:t>
            </w:r>
          </w:p>
        </w:tc>
        <w:tc>
          <w:tcPr>
            <w:cnfStyle w:val="100000000000"/>
            <w:tcW w:w="1238" w:type="dxa"/>
          </w:tcPr>
          <w:p w14:paraId="0000026F">
            <w:pPr>
              <w:jc w:val="center"/>
              <w:rPr>
                <w:rFonts w:ascii="Times New Roman" w:cs="Times New Roman" w:hAnsi="Times New Roman"/>
                <w:bCs/>
                <w:sz w:val="24"/>
                <w:szCs w:val="24"/>
              </w:rPr>
            </w:pPr>
            <w:r>
              <w:rPr>
                <w:rFonts w:ascii="Times New Roman" w:cs="Times New Roman" w:hAnsi="Times New Roman"/>
                <w:bCs/>
                <w:sz w:val="24"/>
                <w:szCs w:val="24"/>
              </w:rPr>
              <w:t>Цена (руб./шт.)</w:t>
            </w:r>
          </w:p>
        </w:tc>
        <w:tc>
          <w:tcPr>
            <w:cnfStyle w:val="100000000000"/>
            <w:tcW w:w="1247" w:type="dxa"/>
          </w:tcPr>
          <w:p w14:paraId="00000270">
            <w:pPr>
              <w:jc w:val="center"/>
              <w:rPr>
                <w:rFonts w:ascii="Times New Roman" w:cs="Times New Roman" w:hAnsi="Times New Roman"/>
                <w:bCs/>
                <w:sz w:val="24"/>
                <w:szCs w:val="24"/>
              </w:rPr>
            </w:pPr>
            <w:r>
              <w:rPr>
                <w:rFonts w:ascii="Times New Roman" w:cs="Times New Roman" w:hAnsi="Times New Roman"/>
                <w:bCs/>
                <w:sz w:val="24"/>
                <w:szCs w:val="24"/>
              </w:rPr>
              <w:t>Доставка (руб./шт.)</w:t>
            </w:r>
          </w:p>
        </w:tc>
        <w:tc>
          <w:tcPr>
            <w:cnfStyle w:val="100000000000"/>
            <w:tcW w:w="1372" w:type="dxa"/>
          </w:tcPr>
          <w:p w14:paraId="00000271">
            <w:pPr>
              <w:jc w:val="center"/>
              <w:rPr>
                <w:rFonts w:ascii="Times New Roman" w:cs="Times New Roman" w:hAnsi="Times New Roman"/>
                <w:bCs/>
                <w:sz w:val="24"/>
                <w:szCs w:val="24"/>
              </w:rPr>
            </w:pPr>
            <w:r>
              <w:rPr>
                <w:rFonts w:ascii="Times New Roman" w:cs="Times New Roman" w:hAnsi="Times New Roman"/>
                <w:bCs/>
                <w:sz w:val="24"/>
                <w:szCs w:val="24"/>
              </w:rPr>
              <w:t>Итоговая цена (руб./шт.)</w:t>
            </w:r>
          </w:p>
        </w:tc>
        <w:tc>
          <w:tcPr>
            <w:cnfStyle w:val="100000000000"/>
            <w:tcW w:w="960" w:type="dxa"/>
          </w:tcPr>
          <w:p w14:paraId="00000272">
            <w:pPr>
              <w:jc w:val="center"/>
              <w:rPr>
                <w:rFonts w:ascii="Times New Roman" w:cs="Times New Roman" w:hAnsi="Times New Roman"/>
                <w:bCs/>
                <w:sz w:val="24"/>
                <w:szCs w:val="24"/>
              </w:rPr>
            </w:pPr>
            <w:r>
              <w:rPr>
                <w:rFonts w:ascii="Times New Roman" w:cs="Times New Roman" w:hAnsi="Times New Roman"/>
                <w:bCs/>
                <w:sz w:val="24"/>
                <w:szCs w:val="24"/>
              </w:rPr>
              <w:t>Кол-во цветов</w:t>
            </w:r>
          </w:p>
        </w:tc>
        <w:tc>
          <w:tcPr>
            <w:cnfStyle w:val="100000000000"/>
            <w:tcW w:w="1237" w:type="dxa"/>
          </w:tcPr>
          <w:p w14:paraId="00000273">
            <w:pPr>
              <w:jc w:val="center"/>
              <w:rPr>
                <w:rFonts w:ascii="Times New Roman" w:cs="Times New Roman" w:hAnsi="Times New Roman"/>
                <w:bCs/>
                <w:sz w:val="24"/>
                <w:szCs w:val="24"/>
              </w:rPr>
            </w:pPr>
            <w:r>
              <w:rPr>
                <w:rFonts w:ascii="Times New Roman" w:cs="Times New Roman" w:hAnsi="Times New Roman"/>
                <w:bCs/>
                <w:sz w:val="24"/>
                <w:szCs w:val="24"/>
              </w:rPr>
              <w:t>Гарантия</w:t>
            </w:r>
          </w:p>
        </w:tc>
      </w:tr>
      <w:tr>
        <w:trPr>
          <w:trHeight w:val="553" w:hRule="atLeast"/>
          <w:jc w:val="center"/>
        </w:trPr>
        <w:tc>
          <w:tcPr>
            <w:cnfStyle w:val="001000100000"/>
            <w:tcW w:w="1748" w:type="dxa"/>
          </w:tcPr>
          <w:p w14:paraId="00000274">
            <w:pPr>
              <w:jc w:val="both"/>
              <w:rPr>
                <w:rFonts w:ascii="Times New Roman" w:cs="Times New Roman" w:hAnsi="Times New Roman"/>
                <w:bCs/>
                <w:sz w:val="24"/>
                <w:szCs w:val="24"/>
              </w:rPr>
            </w:pPr>
            <w:r>
              <w:rPr>
                <w:rFonts w:ascii="Times New Roman" w:cs="Times New Roman" w:hAnsi="Times New Roman"/>
                <w:bCs/>
                <w:sz w:val="24"/>
                <w:szCs w:val="24"/>
              </w:rPr>
              <w:t>«Форвард Кирпич»</w:t>
            </w:r>
          </w:p>
        </w:tc>
        <w:tc>
          <w:tcPr>
            <w:cnfStyle w:val="000000100000"/>
            <w:tcW w:w="1590" w:type="dxa"/>
          </w:tcPr>
          <w:p w14:paraId="00000275">
            <w:pPr>
              <w:jc w:val="both"/>
              <w:rPr>
                <w:rFonts w:ascii="Times New Roman" w:cs="Times New Roman" w:hAnsi="Times New Roman"/>
                <w:bCs/>
                <w:sz w:val="24"/>
                <w:szCs w:val="24"/>
              </w:rPr>
            </w:pPr>
            <w:r>
              <w:rPr>
                <w:rFonts w:ascii="Times New Roman" w:cs="Times New Roman" w:hAnsi="Times New Roman"/>
                <w:bCs/>
                <w:sz w:val="24"/>
                <w:szCs w:val="24"/>
              </w:rPr>
              <w:t>Московская обл.</w:t>
            </w:r>
          </w:p>
        </w:tc>
        <w:tc>
          <w:tcPr>
            <w:cnfStyle w:val="000000100000"/>
            <w:tcW w:w="1238" w:type="dxa"/>
          </w:tcPr>
          <w:p w14:paraId="00000276">
            <w:pPr>
              <w:jc w:val="center"/>
              <w:rPr>
                <w:rFonts w:ascii="Times New Roman" w:cs="Times New Roman" w:hAnsi="Times New Roman"/>
                <w:bCs/>
                <w:sz w:val="24"/>
                <w:szCs w:val="24"/>
              </w:rPr>
            </w:pPr>
            <w:r>
              <w:rPr>
                <w:rFonts w:ascii="Times New Roman" w:cs="Times New Roman" w:hAnsi="Times New Roman"/>
                <w:bCs/>
                <w:sz w:val="24"/>
                <w:szCs w:val="24"/>
              </w:rPr>
              <w:t>32–38</w:t>
            </w:r>
          </w:p>
        </w:tc>
        <w:tc>
          <w:tcPr>
            <w:cnfStyle w:val="000000100000"/>
            <w:tcW w:w="1247" w:type="dxa"/>
          </w:tcPr>
          <w:p w14:paraId="00000277">
            <w:pPr>
              <w:jc w:val="center"/>
              <w:rPr>
                <w:rFonts w:ascii="Times New Roman" w:cs="Times New Roman" w:hAnsi="Times New Roman"/>
                <w:bCs/>
                <w:sz w:val="24"/>
                <w:szCs w:val="24"/>
              </w:rPr>
            </w:pPr>
            <w:r>
              <w:rPr>
                <w:rFonts w:ascii="Times New Roman" w:cs="Times New Roman" w:hAnsi="Times New Roman"/>
                <w:bCs/>
                <w:sz w:val="24"/>
                <w:szCs w:val="24"/>
              </w:rPr>
              <w:t>5–7</w:t>
            </w:r>
          </w:p>
        </w:tc>
        <w:tc>
          <w:tcPr>
            <w:cnfStyle w:val="000000100000"/>
            <w:tcW w:w="1372" w:type="dxa"/>
          </w:tcPr>
          <w:p w14:paraId="00000278">
            <w:pPr>
              <w:jc w:val="center"/>
              <w:rPr>
                <w:rFonts w:ascii="Times New Roman" w:cs="Times New Roman" w:hAnsi="Times New Roman"/>
                <w:bCs/>
                <w:sz w:val="24"/>
                <w:szCs w:val="24"/>
              </w:rPr>
            </w:pPr>
            <w:r>
              <w:rPr>
                <w:rFonts w:ascii="Times New Roman" w:cs="Times New Roman" w:hAnsi="Times New Roman"/>
                <w:bCs/>
                <w:sz w:val="24"/>
                <w:szCs w:val="24"/>
              </w:rPr>
              <w:t>37–45</w:t>
            </w:r>
          </w:p>
        </w:tc>
        <w:tc>
          <w:tcPr>
            <w:cnfStyle w:val="000000100000"/>
            <w:tcW w:w="960" w:type="dxa"/>
          </w:tcPr>
          <w:p w14:paraId="00000279">
            <w:pPr>
              <w:jc w:val="center"/>
              <w:rPr>
                <w:rFonts w:ascii="Times New Roman" w:cs="Times New Roman" w:hAnsi="Times New Roman"/>
                <w:bCs/>
                <w:sz w:val="24"/>
                <w:szCs w:val="24"/>
              </w:rPr>
            </w:pPr>
            <w:r>
              <w:rPr>
                <w:rFonts w:ascii="Times New Roman" w:cs="Times New Roman" w:hAnsi="Times New Roman"/>
                <w:bCs/>
                <w:sz w:val="24"/>
                <w:szCs w:val="24"/>
              </w:rPr>
              <w:t>10+</w:t>
            </w:r>
          </w:p>
        </w:tc>
        <w:tc>
          <w:tcPr>
            <w:cnfStyle w:val="000000100000"/>
            <w:tcW w:w="1237" w:type="dxa"/>
          </w:tcPr>
          <w:p w14:paraId="0000027A">
            <w:pPr>
              <w:jc w:val="center"/>
              <w:rPr>
                <w:rFonts w:ascii="Times New Roman" w:cs="Times New Roman" w:hAnsi="Times New Roman"/>
                <w:bCs/>
                <w:sz w:val="24"/>
                <w:szCs w:val="24"/>
              </w:rPr>
            </w:pPr>
            <w:r>
              <w:rPr>
                <w:rFonts w:ascii="Times New Roman" w:cs="Times New Roman" w:hAnsi="Times New Roman"/>
                <w:bCs/>
                <w:sz w:val="24"/>
                <w:szCs w:val="24"/>
              </w:rPr>
              <w:t>2 года</w:t>
            </w:r>
          </w:p>
        </w:tc>
      </w:tr>
      <w:tr>
        <w:trPr>
          <w:trHeight w:val="553" w:hRule="atLeast"/>
          <w:jc w:val="center"/>
        </w:trPr>
        <w:tc>
          <w:tcPr>
            <w:cnfStyle w:val="001000010000"/>
            <w:tcW w:w="1748" w:type="dxa"/>
          </w:tcPr>
          <w:p w14:paraId="0000027B">
            <w:pPr>
              <w:jc w:val="both"/>
              <w:rPr>
                <w:rFonts w:ascii="Times New Roman" w:cs="Times New Roman" w:hAnsi="Times New Roman"/>
                <w:bCs/>
                <w:sz w:val="24"/>
                <w:szCs w:val="24"/>
              </w:rPr>
            </w:pPr>
            <w:r>
              <w:rPr>
                <w:rFonts w:ascii="Times New Roman" w:cs="Times New Roman" w:hAnsi="Times New Roman"/>
                <w:bCs/>
                <w:sz w:val="24"/>
                <w:szCs w:val="24"/>
              </w:rPr>
              <w:t>ГК BRAER</w:t>
            </w:r>
          </w:p>
        </w:tc>
        <w:tc>
          <w:tcPr>
            <w:cnfStyle w:val="000000010000"/>
            <w:tcW w:w="1590" w:type="dxa"/>
          </w:tcPr>
          <w:p w14:paraId="0000027C">
            <w:pPr>
              <w:jc w:val="both"/>
              <w:rPr>
                <w:rFonts w:ascii="Times New Roman" w:cs="Times New Roman" w:hAnsi="Times New Roman"/>
                <w:bCs/>
                <w:sz w:val="24"/>
                <w:szCs w:val="24"/>
              </w:rPr>
            </w:pPr>
            <w:r>
              <w:rPr>
                <w:rFonts w:ascii="Times New Roman" w:cs="Times New Roman" w:hAnsi="Times New Roman"/>
                <w:bCs/>
                <w:sz w:val="24"/>
                <w:szCs w:val="24"/>
              </w:rPr>
              <w:t>Тульская обл.</w:t>
            </w:r>
          </w:p>
        </w:tc>
        <w:tc>
          <w:tcPr>
            <w:cnfStyle w:val="000000010000"/>
            <w:tcW w:w="1238" w:type="dxa"/>
          </w:tcPr>
          <w:p w14:paraId="0000027D">
            <w:pPr>
              <w:jc w:val="center"/>
              <w:rPr>
                <w:rFonts w:ascii="Times New Roman" w:cs="Times New Roman" w:hAnsi="Times New Roman"/>
                <w:bCs/>
                <w:sz w:val="24"/>
                <w:szCs w:val="24"/>
              </w:rPr>
            </w:pPr>
            <w:r>
              <w:rPr>
                <w:rFonts w:ascii="Times New Roman" w:cs="Times New Roman" w:hAnsi="Times New Roman"/>
                <w:bCs/>
                <w:sz w:val="24"/>
                <w:szCs w:val="24"/>
              </w:rPr>
              <w:t>35–45</w:t>
            </w:r>
          </w:p>
        </w:tc>
        <w:tc>
          <w:tcPr>
            <w:cnfStyle w:val="000000010000"/>
            <w:tcW w:w="1247" w:type="dxa"/>
          </w:tcPr>
          <w:p w14:paraId="0000027E">
            <w:pPr>
              <w:jc w:val="center"/>
              <w:rPr>
                <w:rFonts w:ascii="Times New Roman" w:cs="Times New Roman" w:hAnsi="Times New Roman"/>
                <w:bCs/>
                <w:sz w:val="24"/>
                <w:szCs w:val="24"/>
              </w:rPr>
            </w:pPr>
            <w:r>
              <w:rPr>
                <w:rFonts w:ascii="Times New Roman" w:cs="Times New Roman" w:hAnsi="Times New Roman"/>
                <w:bCs/>
                <w:sz w:val="24"/>
                <w:szCs w:val="24"/>
              </w:rPr>
              <w:t>6–8</w:t>
            </w:r>
          </w:p>
        </w:tc>
        <w:tc>
          <w:tcPr>
            <w:cnfStyle w:val="000000010000"/>
            <w:tcW w:w="1372" w:type="dxa"/>
          </w:tcPr>
          <w:p w14:paraId="0000027F">
            <w:pPr>
              <w:jc w:val="center"/>
              <w:rPr>
                <w:rFonts w:ascii="Times New Roman" w:cs="Times New Roman" w:hAnsi="Times New Roman"/>
                <w:bCs/>
                <w:sz w:val="24"/>
                <w:szCs w:val="24"/>
              </w:rPr>
            </w:pPr>
            <w:r>
              <w:rPr>
                <w:rFonts w:ascii="Times New Roman" w:cs="Times New Roman" w:hAnsi="Times New Roman"/>
                <w:bCs/>
                <w:sz w:val="24"/>
                <w:szCs w:val="24"/>
              </w:rPr>
              <w:t>41–53</w:t>
            </w:r>
          </w:p>
        </w:tc>
        <w:tc>
          <w:tcPr>
            <w:cnfStyle w:val="000000010000"/>
            <w:tcW w:w="960" w:type="dxa"/>
          </w:tcPr>
          <w:p w14:paraId="00000280">
            <w:pPr>
              <w:jc w:val="center"/>
              <w:rPr>
                <w:rFonts w:ascii="Times New Roman" w:cs="Times New Roman" w:hAnsi="Times New Roman"/>
                <w:bCs/>
                <w:sz w:val="24"/>
                <w:szCs w:val="24"/>
              </w:rPr>
            </w:pPr>
            <w:r>
              <w:rPr>
                <w:rFonts w:ascii="Times New Roman" w:cs="Times New Roman" w:hAnsi="Times New Roman"/>
                <w:bCs/>
                <w:sz w:val="24"/>
                <w:szCs w:val="24"/>
              </w:rPr>
              <w:t>12+</w:t>
            </w:r>
          </w:p>
        </w:tc>
        <w:tc>
          <w:tcPr>
            <w:cnfStyle w:val="000000010000"/>
            <w:tcW w:w="1237" w:type="dxa"/>
          </w:tcPr>
          <w:p w14:paraId="00000281">
            <w:pPr>
              <w:jc w:val="center"/>
              <w:rPr>
                <w:rFonts w:ascii="Times New Roman" w:cs="Times New Roman" w:hAnsi="Times New Roman"/>
                <w:bCs/>
                <w:sz w:val="24"/>
                <w:szCs w:val="24"/>
              </w:rPr>
            </w:pPr>
            <w:r>
              <w:rPr>
                <w:rFonts w:ascii="Times New Roman" w:cs="Times New Roman" w:hAnsi="Times New Roman"/>
                <w:bCs/>
                <w:sz w:val="24"/>
                <w:szCs w:val="24"/>
              </w:rPr>
              <w:t>3 года</w:t>
            </w:r>
          </w:p>
        </w:tc>
      </w:tr>
      <w:tr>
        <w:trPr>
          <w:trHeight w:val="553" w:hRule="atLeast"/>
          <w:jc w:val="center"/>
        </w:trPr>
        <w:tc>
          <w:tcPr>
            <w:cnfStyle w:val="001000100000"/>
            <w:tcW w:w="1748" w:type="dxa"/>
          </w:tcPr>
          <w:p w14:paraId="00000282">
            <w:pPr>
              <w:jc w:val="both"/>
              <w:rPr>
                <w:rFonts w:ascii="Times New Roman" w:cs="Times New Roman" w:hAnsi="Times New Roman"/>
                <w:bCs/>
                <w:sz w:val="24"/>
                <w:szCs w:val="24"/>
              </w:rPr>
            </w:pPr>
            <w:r>
              <w:rPr>
                <w:rFonts w:ascii="Times New Roman" w:cs="Times New Roman" w:hAnsi="Times New Roman"/>
                <w:bCs/>
                <w:sz w:val="24"/>
                <w:szCs w:val="24"/>
              </w:rPr>
              <w:t>«Федерация кирпича»</w:t>
            </w:r>
          </w:p>
        </w:tc>
        <w:tc>
          <w:tcPr>
            <w:cnfStyle w:val="000000100000"/>
            <w:tcW w:w="1590" w:type="dxa"/>
          </w:tcPr>
          <w:p w14:paraId="00000283">
            <w:pPr>
              <w:jc w:val="both"/>
              <w:rPr>
                <w:rFonts w:ascii="Times New Roman" w:cs="Times New Roman" w:hAnsi="Times New Roman"/>
                <w:bCs/>
                <w:sz w:val="24"/>
                <w:szCs w:val="24"/>
              </w:rPr>
            </w:pPr>
            <w:r>
              <w:rPr>
                <w:rFonts w:ascii="Times New Roman" w:cs="Times New Roman" w:hAnsi="Times New Roman"/>
                <w:bCs/>
                <w:sz w:val="24"/>
                <w:szCs w:val="24"/>
              </w:rPr>
              <w:t>Самарская обл.</w:t>
            </w:r>
          </w:p>
        </w:tc>
        <w:tc>
          <w:tcPr>
            <w:cnfStyle w:val="000000100000"/>
            <w:tcW w:w="1238" w:type="dxa"/>
          </w:tcPr>
          <w:p w14:paraId="00000284">
            <w:pPr>
              <w:jc w:val="center"/>
              <w:rPr>
                <w:rFonts w:ascii="Times New Roman" w:cs="Times New Roman" w:hAnsi="Times New Roman"/>
                <w:bCs/>
                <w:sz w:val="24"/>
                <w:szCs w:val="24"/>
              </w:rPr>
            </w:pPr>
            <w:r>
              <w:rPr>
                <w:rFonts w:ascii="Times New Roman" w:cs="Times New Roman" w:hAnsi="Times New Roman"/>
                <w:bCs/>
                <w:sz w:val="24"/>
                <w:szCs w:val="24"/>
              </w:rPr>
              <w:t>30–35</w:t>
            </w:r>
          </w:p>
        </w:tc>
        <w:tc>
          <w:tcPr>
            <w:cnfStyle w:val="000000100000"/>
            <w:tcW w:w="1247" w:type="dxa"/>
          </w:tcPr>
          <w:p w14:paraId="00000285">
            <w:pPr>
              <w:jc w:val="center"/>
              <w:rPr>
                <w:rFonts w:ascii="Times New Roman" w:cs="Times New Roman" w:hAnsi="Times New Roman"/>
                <w:bCs/>
                <w:sz w:val="24"/>
                <w:szCs w:val="24"/>
              </w:rPr>
            </w:pPr>
            <w:r>
              <w:rPr>
                <w:rFonts w:ascii="Times New Roman" w:cs="Times New Roman" w:hAnsi="Times New Roman"/>
                <w:bCs/>
                <w:sz w:val="24"/>
                <w:szCs w:val="24"/>
              </w:rPr>
              <w:t>3–5</w:t>
            </w:r>
          </w:p>
        </w:tc>
        <w:tc>
          <w:tcPr>
            <w:cnfStyle w:val="000000100000"/>
            <w:tcW w:w="1372" w:type="dxa"/>
          </w:tcPr>
          <w:p w14:paraId="00000286">
            <w:pPr>
              <w:jc w:val="center"/>
              <w:rPr>
                <w:rFonts w:ascii="Times New Roman" w:cs="Times New Roman" w:hAnsi="Times New Roman"/>
                <w:bCs/>
                <w:sz w:val="24"/>
                <w:szCs w:val="24"/>
              </w:rPr>
            </w:pPr>
            <w:r>
              <w:rPr>
                <w:rFonts w:ascii="Times New Roman" w:cs="Times New Roman" w:hAnsi="Times New Roman"/>
                <w:bCs/>
                <w:sz w:val="24"/>
                <w:szCs w:val="24"/>
              </w:rPr>
              <w:t>33–40</w:t>
            </w:r>
          </w:p>
        </w:tc>
        <w:tc>
          <w:tcPr>
            <w:cnfStyle w:val="000000100000"/>
            <w:tcW w:w="960" w:type="dxa"/>
          </w:tcPr>
          <w:p w14:paraId="00000287">
            <w:pPr>
              <w:jc w:val="center"/>
              <w:rPr>
                <w:rFonts w:ascii="Times New Roman" w:cs="Times New Roman" w:hAnsi="Times New Roman"/>
                <w:bCs/>
                <w:sz w:val="24"/>
                <w:szCs w:val="24"/>
              </w:rPr>
            </w:pPr>
            <w:r>
              <w:rPr>
                <w:rFonts w:ascii="Times New Roman" w:cs="Times New Roman" w:hAnsi="Times New Roman"/>
                <w:bCs/>
                <w:sz w:val="24"/>
                <w:szCs w:val="24"/>
              </w:rPr>
              <w:t>5–6</w:t>
            </w:r>
          </w:p>
        </w:tc>
        <w:tc>
          <w:tcPr>
            <w:cnfStyle w:val="000000100000"/>
            <w:tcW w:w="1237" w:type="dxa"/>
          </w:tcPr>
          <w:p w14:paraId="00000288">
            <w:pPr>
              <w:jc w:val="center"/>
              <w:rPr>
                <w:rFonts w:ascii="Times New Roman" w:cs="Times New Roman" w:hAnsi="Times New Roman"/>
                <w:bCs/>
                <w:sz w:val="24"/>
                <w:szCs w:val="24"/>
              </w:rPr>
            </w:pPr>
            <w:r>
              <w:rPr>
                <w:rFonts w:ascii="Times New Roman" w:cs="Times New Roman" w:hAnsi="Times New Roman"/>
                <w:bCs/>
                <w:sz w:val="24"/>
                <w:szCs w:val="24"/>
              </w:rPr>
              <w:t>1 год</w:t>
            </w:r>
          </w:p>
        </w:tc>
      </w:tr>
      <w:tr>
        <w:trPr>
          <w:trHeight w:val="553" w:hRule="atLeast"/>
          <w:jc w:val="center"/>
        </w:trPr>
        <w:tc>
          <w:tcPr>
            <w:cnfStyle w:val="001000010000"/>
            <w:tcW w:w="1748" w:type="dxa"/>
          </w:tcPr>
          <w:p w14:paraId="00000289">
            <w:pPr>
              <w:jc w:val="both"/>
              <w:rPr>
                <w:rFonts w:ascii="Times New Roman" w:cs="Times New Roman" w:hAnsi="Times New Roman"/>
                <w:bCs/>
                <w:sz w:val="24"/>
                <w:szCs w:val="24"/>
              </w:rPr>
            </w:pPr>
            <w:r>
              <w:rPr>
                <w:rFonts w:ascii="Times New Roman" w:cs="Times New Roman" w:hAnsi="Times New Roman"/>
                <w:bCs/>
                <w:sz w:val="24"/>
                <w:szCs w:val="24"/>
              </w:rPr>
              <w:t>Проект</w:t>
            </w:r>
            <w:r>
              <w:rPr>
                <w:rFonts w:ascii="Times New Roman" w:cs="Times New Roman" w:hAnsi="Times New Roman"/>
                <w:bCs/>
                <w:sz w:val="24"/>
                <w:szCs w:val="24"/>
              </w:rPr>
              <w:t xml:space="preserve">. </w:t>
            </w:r>
            <w:r>
              <w:rPr>
                <w:rFonts w:ascii="Times New Roman" w:cs="Times New Roman" w:hAnsi="Times New Roman"/>
                <w:bCs/>
                <w:sz w:val="24"/>
                <w:szCs w:val="24"/>
              </w:rPr>
              <w:t>предприятие</w:t>
            </w:r>
          </w:p>
        </w:tc>
        <w:tc>
          <w:tcPr>
            <w:cnfStyle w:val="000000010000"/>
            <w:tcW w:w="1590" w:type="dxa"/>
          </w:tcPr>
          <w:p w14:paraId="0000028A">
            <w:pPr>
              <w:jc w:val="both"/>
              <w:rPr>
                <w:rFonts w:ascii="Times New Roman" w:cs="Times New Roman" w:hAnsi="Times New Roman"/>
                <w:bCs/>
                <w:sz w:val="24"/>
                <w:szCs w:val="24"/>
              </w:rPr>
            </w:pPr>
            <w:r>
              <w:rPr>
                <w:rFonts w:ascii="Times New Roman" w:cs="Times New Roman" w:hAnsi="Times New Roman"/>
                <w:bCs/>
                <w:sz w:val="24"/>
                <w:szCs w:val="24"/>
              </w:rPr>
              <w:t>Пензенская обл.</w:t>
            </w:r>
          </w:p>
        </w:tc>
        <w:tc>
          <w:tcPr>
            <w:cnfStyle w:val="000000010000"/>
            <w:tcW w:w="1238" w:type="dxa"/>
          </w:tcPr>
          <w:p w14:paraId="0000028B">
            <w:pPr>
              <w:jc w:val="center"/>
              <w:rPr>
                <w:rFonts w:ascii="Times New Roman" w:cs="Times New Roman" w:hAnsi="Times New Roman"/>
                <w:bCs/>
                <w:sz w:val="24"/>
                <w:szCs w:val="24"/>
              </w:rPr>
            </w:pPr>
            <w:r>
              <w:rPr>
                <w:rFonts w:ascii="Times New Roman" w:cs="Times New Roman" w:hAnsi="Times New Roman"/>
                <w:bCs/>
                <w:sz w:val="24"/>
                <w:szCs w:val="24"/>
              </w:rPr>
              <w:t>25–30</w:t>
            </w:r>
          </w:p>
        </w:tc>
        <w:tc>
          <w:tcPr>
            <w:cnfStyle w:val="000000010000"/>
            <w:tcW w:w="1247" w:type="dxa"/>
          </w:tcPr>
          <w:p w14:paraId="0000028C">
            <w:pPr>
              <w:jc w:val="center"/>
              <w:rPr>
                <w:rFonts w:ascii="Times New Roman" w:cs="Times New Roman" w:hAnsi="Times New Roman"/>
                <w:bCs/>
                <w:sz w:val="24"/>
                <w:szCs w:val="24"/>
              </w:rPr>
            </w:pPr>
            <w:r>
              <w:rPr>
                <w:rFonts w:ascii="Times New Roman" w:cs="Times New Roman" w:hAnsi="Times New Roman"/>
                <w:bCs/>
                <w:sz w:val="24"/>
                <w:szCs w:val="24"/>
              </w:rPr>
              <w:t>0–2</w:t>
            </w:r>
          </w:p>
        </w:tc>
        <w:tc>
          <w:tcPr>
            <w:cnfStyle w:val="000000010000"/>
            <w:tcW w:w="1372" w:type="dxa"/>
          </w:tcPr>
          <w:p w14:paraId="0000028D">
            <w:pPr>
              <w:jc w:val="center"/>
              <w:rPr>
                <w:rFonts w:ascii="Times New Roman" w:cs="Times New Roman" w:hAnsi="Times New Roman"/>
                <w:bCs/>
                <w:sz w:val="24"/>
                <w:szCs w:val="24"/>
              </w:rPr>
            </w:pPr>
            <w:r>
              <w:rPr>
                <w:rFonts w:ascii="Times New Roman" w:cs="Times New Roman" w:hAnsi="Times New Roman"/>
                <w:bCs/>
                <w:sz w:val="24"/>
                <w:szCs w:val="24"/>
              </w:rPr>
              <w:t>25–32</w:t>
            </w:r>
          </w:p>
        </w:tc>
        <w:tc>
          <w:tcPr>
            <w:cnfStyle w:val="000000010000"/>
            <w:tcW w:w="960" w:type="dxa"/>
          </w:tcPr>
          <w:p w14:paraId="0000028E">
            <w:pPr>
              <w:jc w:val="center"/>
              <w:rPr>
                <w:rFonts w:ascii="Times New Roman" w:cs="Times New Roman" w:hAnsi="Times New Roman"/>
                <w:bCs/>
                <w:sz w:val="24"/>
                <w:szCs w:val="24"/>
              </w:rPr>
            </w:pPr>
            <w:r>
              <w:rPr>
                <w:rFonts w:ascii="Times New Roman" w:cs="Times New Roman" w:hAnsi="Times New Roman"/>
                <w:bCs/>
                <w:sz w:val="24"/>
                <w:szCs w:val="24"/>
              </w:rPr>
              <w:t>12</w:t>
            </w:r>
          </w:p>
        </w:tc>
        <w:tc>
          <w:tcPr>
            <w:cnfStyle w:val="000000010000"/>
            <w:tcW w:w="1237" w:type="dxa"/>
          </w:tcPr>
          <w:p w14:paraId="0000028F">
            <w:pPr>
              <w:jc w:val="center"/>
              <w:rPr>
                <w:rFonts w:ascii="Times New Roman" w:cs="Times New Roman" w:hAnsi="Times New Roman"/>
                <w:bCs/>
                <w:sz w:val="24"/>
                <w:szCs w:val="24"/>
              </w:rPr>
            </w:pPr>
            <w:r>
              <w:rPr>
                <w:rFonts w:ascii="Times New Roman" w:cs="Times New Roman" w:hAnsi="Times New Roman"/>
                <w:bCs/>
                <w:sz w:val="24"/>
                <w:szCs w:val="24"/>
              </w:rPr>
              <w:t>5 лет</w:t>
            </w:r>
          </w:p>
        </w:tc>
      </w:tr>
    </w:tbl>
    <w:p w14:paraId="00000290">
      <w:pPr>
        <w:spacing w:beforeAutospacing="0" w:after="0" w:afterAutospacing="0" w:line="360" w:lineRule="auto"/>
        <w:ind w:firstLine="709"/>
        <w:jc w:val="both"/>
        <w:rPr>
          <w:rFonts w:ascii="Times New Roman" w:cs="Times New Roman" w:hAnsi="Times New Roman"/>
          <w:bCs/>
          <w:sz w:val="28"/>
          <w:szCs w:val="28"/>
        </w:rPr>
      </w:pPr>
    </w:p>
    <w:p w14:paraId="00000291">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Проектируемое предприятие имеет значительное ценовое преимущество за счёт отсутствия транспортных расходов при поставках внутри Пензенской области. Итоговая цена для потребителя будет на 20–35% ниже, чем у конкурентов из других регионов. Широкий ассортимент (12 цветов) и длительная гарантия (5 лет) являются дополнительными конкурентными преимуществами.</w:t>
      </w:r>
    </w:p>
    <w:p w14:paraId="00000292">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Производители керамического облицовочного кирпича – Пензенский кирпичный завод и Нижнеломовский кирпичный завод. Их продукция дешевле гиперпрессованного кирпича (18–25 руб./шт. против 25–30 руб./шт.), но уступает по прочности, морозостойкости и стабильности геометрии [54].</w:t>
      </w:r>
    </w:p>
    <w:p w14:paraId="00000293">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Производители газобетона – завод «Пензенский строитель» выпускает газобетонные блоки, которые активно используются в ИЖС. Цена газобетона за 1 куб. м (эквивалент 500–600 шт. кирпича) составляет около 5–6 тыс. руб., что в пересчёте на штуку кирпича даёт 8–12 руб. – значительно дешевле. Однако газобетон уступает кирпичу в прочности, долговечности, эстетике и привлекательности для потребителя [55].</w:t>
      </w:r>
    </w:p>
    <w:p w14:paraId="00000294">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Системное сопоставления рассматриваемых материалов приведено в таблице 2.6.</w:t>
      </w:r>
    </w:p>
    <w:p w14:paraId="00000295">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 xml:space="preserve">Таблица 2.6 – Сравнение гиперпрессованного кирпича с альтернативными материалами </w:t>
      </w:r>
    </w:p>
    <w:tbl>
      <w:tblPr>
        <w:tblStyle w:val="TableGrid"/>
        <w:tblW w:w="9404" w:type="dxa"/>
        <w:tblInd w:w="101" w:type="dxa"/>
        <w:tblLook w:val="04A0"/>
      </w:tblPr>
      <w:tblGrid>
        <w:gridCol w:w="2478"/>
        <w:gridCol w:w="2315"/>
        <w:gridCol w:w="3044"/>
        <w:gridCol w:w="1567"/>
      </w:tblGrid>
      <w:tr>
        <w:trPr/>
        <w:tc>
          <w:tcPr>
            <w:cnfStyle w:val="101000000000"/>
            <w:tcW w:w="0" w:type="auto"/>
          </w:tcPr>
          <w:p w14:paraId="00000296">
            <w:pPr>
              <w:jc w:val="center"/>
              <w:rPr>
                <w:rFonts w:ascii="Times New Roman" w:cs="Times New Roman" w:hAnsi="Times New Roman"/>
                <w:bCs/>
                <w:sz w:val="24"/>
                <w:szCs w:val="24"/>
              </w:rPr>
            </w:pPr>
            <w:r>
              <w:rPr>
                <w:rFonts w:ascii="Times New Roman" w:cs="Times New Roman" w:hAnsi="Times New Roman"/>
                <w:bCs/>
                <w:sz w:val="24"/>
                <w:szCs w:val="24"/>
              </w:rPr>
              <w:t>Характеристика</w:t>
            </w:r>
          </w:p>
        </w:tc>
        <w:tc>
          <w:tcPr>
            <w:cnfStyle w:val="100000000000"/>
            <w:tcW w:w="2315" w:type="dxa"/>
          </w:tcPr>
          <w:p w14:paraId="00000297">
            <w:pPr>
              <w:jc w:val="center"/>
              <w:rPr>
                <w:rFonts w:ascii="Times New Roman" w:cs="Times New Roman" w:hAnsi="Times New Roman"/>
                <w:bCs/>
                <w:sz w:val="24"/>
                <w:szCs w:val="24"/>
              </w:rPr>
            </w:pPr>
            <w:r>
              <w:rPr>
                <w:rFonts w:ascii="Times New Roman" w:cs="Times New Roman" w:hAnsi="Times New Roman"/>
                <w:bCs/>
                <w:sz w:val="24"/>
                <w:szCs w:val="24"/>
              </w:rPr>
              <w:t>Гиперпрессованный кирпич</w:t>
            </w:r>
          </w:p>
        </w:tc>
        <w:tc>
          <w:tcPr>
            <w:cnfStyle w:val="100000000000"/>
            <w:tcW w:w="3044" w:type="dxa"/>
          </w:tcPr>
          <w:p w14:paraId="00000298">
            <w:pPr>
              <w:jc w:val="center"/>
              <w:rPr>
                <w:rFonts w:ascii="Times New Roman" w:cs="Times New Roman" w:hAnsi="Times New Roman"/>
                <w:bCs/>
                <w:sz w:val="24"/>
                <w:szCs w:val="24"/>
              </w:rPr>
            </w:pPr>
            <w:r>
              <w:rPr>
                <w:rFonts w:ascii="Times New Roman" w:cs="Times New Roman" w:hAnsi="Times New Roman"/>
                <w:bCs/>
                <w:sz w:val="24"/>
                <w:szCs w:val="24"/>
              </w:rPr>
              <w:t>Керамический облицовочный кирпич</w:t>
            </w:r>
          </w:p>
        </w:tc>
        <w:tc>
          <w:tcPr>
            <w:cnfStyle w:val="100000000000"/>
            <w:tcW w:w="1567" w:type="dxa"/>
          </w:tcPr>
          <w:p w14:paraId="00000299">
            <w:pPr>
              <w:jc w:val="center"/>
              <w:rPr>
                <w:rFonts w:ascii="Times New Roman" w:cs="Times New Roman" w:hAnsi="Times New Roman"/>
                <w:bCs/>
                <w:sz w:val="24"/>
                <w:szCs w:val="24"/>
              </w:rPr>
            </w:pPr>
            <w:r>
              <w:rPr>
                <w:rFonts w:ascii="Times New Roman" w:cs="Times New Roman" w:hAnsi="Times New Roman"/>
                <w:bCs/>
                <w:sz w:val="24"/>
                <w:szCs w:val="24"/>
              </w:rPr>
              <w:t>Газобетон</w:t>
            </w:r>
          </w:p>
        </w:tc>
      </w:tr>
      <w:tr>
        <w:trPr/>
        <w:tc>
          <w:tcPr>
            <w:cnfStyle w:val="001000100000"/>
            <w:tcW w:w="0" w:type="auto"/>
          </w:tcPr>
          <w:p w14:paraId="0000029A">
            <w:pPr>
              <w:jc w:val="center"/>
              <w:rPr>
                <w:rFonts w:ascii="Times New Roman" w:cs="Times New Roman" w:hAnsi="Times New Roman"/>
                <w:bCs/>
                <w:sz w:val="24"/>
                <w:szCs w:val="24"/>
              </w:rPr>
            </w:pPr>
            <w:r>
              <w:rPr>
                <w:rFonts w:ascii="Times New Roman" w:cs="Times New Roman" w:hAnsi="Times New Roman"/>
                <w:bCs/>
                <w:sz w:val="24"/>
                <w:szCs w:val="24"/>
              </w:rPr>
              <w:t>Цена (руб./шт., Пенза)</w:t>
            </w:r>
          </w:p>
        </w:tc>
        <w:tc>
          <w:tcPr>
            <w:cnfStyle w:val="000000100000"/>
            <w:tcW w:w="2315" w:type="dxa"/>
          </w:tcPr>
          <w:p w14:paraId="0000029B">
            <w:pPr>
              <w:jc w:val="center"/>
              <w:rPr>
                <w:rFonts w:ascii="Times New Roman" w:cs="Times New Roman" w:hAnsi="Times New Roman"/>
                <w:bCs/>
                <w:sz w:val="24"/>
                <w:szCs w:val="24"/>
              </w:rPr>
            </w:pPr>
            <w:r>
              <w:rPr>
                <w:rFonts w:ascii="Times New Roman" w:cs="Times New Roman" w:hAnsi="Times New Roman"/>
                <w:bCs/>
                <w:sz w:val="24"/>
                <w:szCs w:val="24"/>
              </w:rPr>
              <w:t>25–32</w:t>
            </w:r>
          </w:p>
        </w:tc>
        <w:tc>
          <w:tcPr>
            <w:cnfStyle w:val="000000100000"/>
            <w:tcW w:w="3044" w:type="dxa"/>
          </w:tcPr>
          <w:p w14:paraId="0000029C">
            <w:pPr>
              <w:jc w:val="center"/>
              <w:rPr>
                <w:rFonts w:ascii="Times New Roman" w:cs="Times New Roman" w:hAnsi="Times New Roman"/>
                <w:bCs/>
                <w:sz w:val="24"/>
                <w:szCs w:val="24"/>
              </w:rPr>
            </w:pPr>
            <w:r>
              <w:rPr>
                <w:rFonts w:ascii="Times New Roman" w:cs="Times New Roman" w:hAnsi="Times New Roman"/>
                <w:bCs/>
                <w:sz w:val="24"/>
                <w:szCs w:val="24"/>
              </w:rPr>
              <w:t>18–25</w:t>
            </w:r>
          </w:p>
        </w:tc>
        <w:tc>
          <w:tcPr>
            <w:cnfStyle w:val="000000100000"/>
            <w:tcW w:w="1567" w:type="dxa"/>
          </w:tcPr>
          <w:p w14:paraId="0000029D">
            <w:pPr>
              <w:jc w:val="center"/>
              <w:rPr>
                <w:rFonts w:ascii="Times New Roman" w:cs="Times New Roman" w:hAnsi="Times New Roman"/>
                <w:bCs/>
                <w:sz w:val="24"/>
                <w:szCs w:val="24"/>
              </w:rPr>
            </w:pPr>
            <w:r>
              <w:rPr>
                <w:rFonts w:ascii="Times New Roman" w:cs="Times New Roman" w:hAnsi="Times New Roman"/>
                <w:bCs/>
                <w:sz w:val="24"/>
                <w:szCs w:val="24"/>
              </w:rPr>
              <w:t>8–12 (в пересчёте)</w:t>
            </w:r>
          </w:p>
        </w:tc>
      </w:tr>
      <w:tr>
        <w:trPr/>
        <w:tc>
          <w:tcPr>
            <w:cnfStyle w:val="001000010000"/>
            <w:tcW w:w="0" w:type="auto"/>
          </w:tcPr>
          <w:p w14:paraId="0000029E">
            <w:pPr>
              <w:jc w:val="center"/>
              <w:rPr>
                <w:rFonts w:ascii="Times New Roman" w:cs="Times New Roman" w:hAnsi="Times New Roman"/>
                <w:bCs/>
                <w:sz w:val="24"/>
                <w:szCs w:val="24"/>
              </w:rPr>
            </w:pPr>
            <w:r>
              <w:rPr>
                <w:rFonts w:ascii="Times New Roman" w:cs="Times New Roman" w:hAnsi="Times New Roman"/>
                <w:bCs/>
                <w:sz w:val="24"/>
                <w:szCs w:val="24"/>
              </w:rPr>
              <w:t>Прочность (М)</w:t>
            </w:r>
          </w:p>
        </w:tc>
        <w:tc>
          <w:tcPr>
            <w:cnfStyle w:val="000000010000"/>
            <w:tcW w:w="2315" w:type="dxa"/>
          </w:tcPr>
          <w:p w14:paraId="0000029F">
            <w:pPr>
              <w:jc w:val="center"/>
              <w:rPr>
                <w:rFonts w:ascii="Times New Roman" w:cs="Times New Roman" w:hAnsi="Times New Roman"/>
                <w:bCs/>
                <w:sz w:val="24"/>
                <w:szCs w:val="24"/>
              </w:rPr>
            </w:pPr>
            <w:r>
              <w:rPr>
                <w:rFonts w:ascii="Times New Roman" w:cs="Times New Roman" w:hAnsi="Times New Roman"/>
                <w:bCs/>
                <w:sz w:val="24"/>
                <w:szCs w:val="24"/>
              </w:rPr>
              <w:t>М200–М350</w:t>
            </w:r>
          </w:p>
        </w:tc>
        <w:tc>
          <w:tcPr>
            <w:cnfStyle w:val="000000010000"/>
            <w:tcW w:w="3044" w:type="dxa"/>
          </w:tcPr>
          <w:p w14:paraId="000002A0">
            <w:pPr>
              <w:jc w:val="center"/>
              <w:rPr>
                <w:rFonts w:ascii="Times New Roman" w:cs="Times New Roman" w:hAnsi="Times New Roman"/>
                <w:bCs/>
                <w:sz w:val="24"/>
                <w:szCs w:val="24"/>
              </w:rPr>
            </w:pPr>
            <w:r>
              <w:rPr>
                <w:rFonts w:ascii="Times New Roman" w:cs="Times New Roman" w:hAnsi="Times New Roman"/>
                <w:bCs/>
                <w:sz w:val="24"/>
                <w:szCs w:val="24"/>
              </w:rPr>
              <w:t>М150–М250</w:t>
            </w:r>
          </w:p>
        </w:tc>
        <w:tc>
          <w:tcPr>
            <w:cnfStyle w:val="000000010000"/>
            <w:tcW w:w="1567" w:type="dxa"/>
          </w:tcPr>
          <w:p w14:paraId="000002A1">
            <w:pPr>
              <w:jc w:val="center"/>
              <w:rPr>
                <w:rFonts w:ascii="Times New Roman" w:cs="Times New Roman" w:hAnsi="Times New Roman"/>
                <w:bCs/>
                <w:sz w:val="24"/>
                <w:szCs w:val="24"/>
              </w:rPr>
            </w:pPr>
            <w:r>
              <w:rPr>
                <w:rFonts w:ascii="Times New Roman" w:cs="Times New Roman" w:hAnsi="Times New Roman"/>
                <w:bCs/>
                <w:sz w:val="24"/>
                <w:szCs w:val="24"/>
              </w:rPr>
              <w:t>М35–М50</w:t>
            </w:r>
          </w:p>
        </w:tc>
      </w:tr>
      <w:tr>
        <w:trPr/>
        <w:tc>
          <w:tcPr>
            <w:cnfStyle w:val="001000100000"/>
            <w:tcW w:w="0" w:type="auto"/>
          </w:tcPr>
          <w:p w14:paraId="000002A2">
            <w:pPr>
              <w:jc w:val="center"/>
              <w:rPr>
                <w:rFonts w:ascii="Times New Roman" w:cs="Times New Roman" w:hAnsi="Times New Roman"/>
                <w:bCs/>
                <w:sz w:val="24"/>
                <w:szCs w:val="24"/>
              </w:rPr>
            </w:pPr>
            <w:r>
              <w:rPr>
                <w:rFonts w:ascii="Times New Roman" w:cs="Times New Roman" w:hAnsi="Times New Roman"/>
                <w:bCs/>
                <w:sz w:val="24"/>
                <w:szCs w:val="24"/>
              </w:rPr>
              <w:t>Морозостойкость (F)</w:t>
            </w:r>
          </w:p>
        </w:tc>
        <w:tc>
          <w:tcPr>
            <w:cnfStyle w:val="000000100000"/>
            <w:tcW w:w="2315" w:type="dxa"/>
          </w:tcPr>
          <w:p w14:paraId="000002A3">
            <w:pPr>
              <w:jc w:val="center"/>
              <w:rPr>
                <w:rFonts w:ascii="Times New Roman" w:cs="Times New Roman" w:hAnsi="Times New Roman"/>
                <w:bCs/>
                <w:sz w:val="24"/>
                <w:szCs w:val="24"/>
              </w:rPr>
            </w:pPr>
            <w:r>
              <w:rPr>
                <w:rFonts w:ascii="Times New Roman" w:cs="Times New Roman" w:hAnsi="Times New Roman"/>
                <w:bCs/>
                <w:sz w:val="24"/>
                <w:szCs w:val="24"/>
              </w:rPr>
              <w:t>F75–F100</w:t>
            </w:r>
          </w:p>
        </w:tc>
        <w:tc>
          <w:tcPr>
            <w:cnfStyle w:val="000000100000"/>
            <w:tcW w:w="3044" w:type="dxa"/>
          </w:tcPr>
          <w:p w14:paraId="000002A4">
            <w:pPr>
              <w:jc w:val="center"/>
              <w:rPr>
                <w:rFonts w:ascii="Times New Roman" w:cs="Times New Roman" w:hAnsi="Times New Roman"/>
                <w:bCs/>
                <w:sz w:val="24"/>
                <w:szCs w:val="24"/>
              </w:rPr>
            </w:pPr>
            <w:r>
              <w:rPr>
                <w:rFonts w:ascii="Times New Roman" w:cs="Times New Roman" w:hAnsi="Times New Roman"/>
                <w:bCs/>
                <w:sz w:val="24"/>
                <w:szCs w:val="24"/>
              </w:rPr>
              <w:t>F50–F75</w:t>
            </w:r>
          </w:p>
        </w:tc>
        <w:tc>
          <w:tcPr>
            <w:cnfStyle w:val="000000100000"/>
            <w:tcW w:w="1567" w:type="dxa"/>
          </w:tcPr>
          <w:p w14:paraId="000002A5">
            <w:pPr>
              <w:jc w:val="center"/>
              <w:rPr>
                <w:rFonts w:ascii="Times New Roman" w:cs="Times New Roman" w:hAnsi="Times New Roman"/>
                <w:bCs/>
                <w:sz w:val="24"/>
                <w:szCs w:val="24"/>
              </w:rPr>
            </w:pPr>
            <w:r>
              <w:rPr>
                <w:rFonts w:ascii="Times New Roman" w:cs="Times New Roman" w:hAnsi="Times New Roman"/>
                <w:bCs/>
                <w:sz w:val="24"/>
                <w:szCs w:val="24"/>
              </w:rPr>
              <w:t>F35–F50</w:t>
            </w:r>
          </w:p>
        </w:tc>
      </w:tr>
      <w:tr>
        <w:trPr/>
        <w:tc>
          <w:tcPr>
            <w:cnfStyle w:val="001000010000"/>
            <w:tcW w:w="0" w:type="auto"/>
          </w:tcPr>
          <w:p w14:paraId="000002A6">
            <w:pPr>
              <w:jc w:val="center"/>
              <w:rPr>
                <w:rFonts w:ascii="Times New Roman" w:cs="Times New Roman" w:hAnsi="Times New Roman"/>
                <w:bCs/>
                <w:sz w:val="24"/>
                <w:szCs w:val="24"/>
              </w:rPr>
            </w:pPr>
            <w:r>
              <w:rPr>
                <w:rFonts w:ascii="Times New Roman" w:cs="Times New Roman" w:hAnsi="Times New Roman"/>
                <w:bCs/>
                <w:sz w:val="24"/>
                <w:szCs w:val="24"/>
              </w:rPr>
              <w:t>Эстетика (требуется ли отделка)</w:t>
            </w:r>
          </w:p>
        </w:tc>
        <w:tc>
          <w:tcPr>
            <w:cnfStyle w:val="000000010000"/>
            <w:tcW w:w="2315" w:type="dxa"/>
          </w:tcPr>
          <w:p w14:paraId="000002A7">
            <w:pPr>
              <w:jc w:val="center"/>
              <w:rPr>
                <w:rFonts w:ascii="Times New Roman" w:cs="Times New Roman" w:hAnsi="Times New Roman"/>
                <w:bCs/>
                <w:sz w:val="24"/>
                <w:szCs w:val="24"/>
              </w:rPr>
            </w:pPr>
            <w:r>
              <w:rPr>
                <w:rFonts w:ascii="Times New Roman" w:cs="Times New Roman" w:hAnsi="Times New Roman"/>
                <w:bCs/>
                <w:sz w:val="24"/>
                <w:szCs w:val="24"/>
              </w:rPr>
              <w:t>Не требуется</w:t>
            </w:r>
          </w:p>
        </w:tc>
        <w:tc>
          <w:tcPr>
            <w:cnfStyle w:val="000000010000"/>
            <w:tcW w:w="3044" w:type="dxa"/>
          </w:tcPr>
          <w:p w14:paraId="000002A8">
            <w:pPr>
              <w:jc w:val="center"/>
              <w:rPr>
                <w:rFonts w:ascii="Times New Roman" w:cs="Times New Roman" w:hAnsi="Times New Roman"/>
                <w:bCs/>
                <w:sz w:val="24"/>
                <w:szCs w:val="24"/>
              </w:rPr>
            </w:pPr>
            <w:r>
              <w:rPr>
                <w:rFonts w:ascii="Times New Roman" w:cs="Times New Roman" w:hAnsi="Times New Roman"/>
                <w:bCs/>
                <w:sz w:val="24"/>
                <w:szCs w:val="24"/>
              </w:rPr>
              <w:t>Не требуется</w:t>
            </w:r>
          </w:p>
        </w:tc>
        <w:tc>
          <w:tcPr>
            <w:cnfStyle w:val="000000010000"/>
            <w:tcW w:w="1567" w:type="dxa"/>
          </w:tcPr>
          <w:p w14:paraId="000002A9">
            <w:pPr>
              <w:jc w:val="center"/>
              <w:rPr>
                <w:rFonts w:ascii="Times New Roman" w:cs="Times New Roman" w:hAnsi="Times New Roman"/>
                <w:bCs/>
                <w:sz w:val="24"/>
                <w:szCs w:val="24"/>
              </w:rPr>
            </w:pPr>
            <w:r>
              <w:rPr>
                <w:rFonts w:ascii="Times New Roman" w:cs="Times New Roman" w:hAnsi="Times New Roman"/>
                <w:bCs/>
                <w:sz w:val="24"/>
                <w:szCs w:val="24"/>
              </w:rPr>
              <w:t>Требуется</w:t>
            </w:r>
          </w:p>
        </w:tc>
      </w:tr>
      <w:tr>
        <w:trPr/>
        <w:tc>
          <w:tcPr>
            <w:cnfStyle w:val="001000100000"/>
            <w:tcW w:w="0" w:type="auto"/>
          </w:tcPr>
          <w:p w14:paraId="000002AA">
            <w:pPr>
              <w:jc w:val="center"/>
              <w:rPr>
                <w:rFonts w:ascii="Times New Roman" w:cs="Times New Roman" w:hAnsi="Times New Roman"/>
                <w:bCs/>
                <w:sz w:val="24"/>
                <w:szCs w:val="24"/>
              </w:rPr>
            </w:pPr>
            <w:r>
              <w:rPr>
                <w:rFonts w:ascii="Times New Roman" w:cs="Times New Roman" w:hAnsi="Times New Roman"/>
                <w:bCs/>
                <w:sz w:val="24"/>
                <w:szCs w:val="24"/>
              </w:rPr>
              <w:t>Долговечность (лет)</w:t>
            </w:r>
          </w:p>
        </w:tc>
        <w:tc>
          <w:tcPr>
            <w:cnfStyle w:val="000000100000"/>
            <w:tcW w:w="2315" w:type="dxa"/>
          </w:tcPr>
          <w:p w14:paraId="000002AB">
            <w:pPr>
              <w:jc w:val="center"/>
              <w:rPr>
                <w:rFonts w:ascii="Times New Roman" w:cs="Times New Roman" w:hAnsi="Times New Roman"/>
                <w:bCs/>
                <w:sz w:val="24"/>
                <w:szCs w:val="24"/>
              </w:rPr>
            </w:pPr>
            <w:r>
              <w:rPr>
                <w:rFonts w:ascii="Times New Roman" w:cs="Times New Roman" w:hAnsi="Times New Roman"/>
                <w:bCs/>
                <w:sz w:val="24"/>
                <w:szCs w:val="24"/>
              </w:rPr>
              <w:t>80–100</w:t>
            </w:r>
          </w:p>
        </w:tc>
        <w:tc>
          <w:tcPr>
            <w:cnfStyle w:val="000000100000"/>
            <w:tcW w:w="3044" w:type="dxa"/>
          </w:tcPr>
          <w:p w14:paraId="000002AC">
            <w:pPr>
              <w:jc w:val="center"/>
              <w:rPr>
                <w:rFonts w:ascii="Times New Roman" w:cs="Times New Roman" w:hAnsi="Times New Roman"/>
                <w:bCs/>
                <w:sz w:val="24"/>
                <w:szCs w:val="24"/>
              </w:rPr>
            </w:pPr>
            <w:r>
              <w:rPr>
                <w:rFonts w:ascii="Times New Roman" w:cs="Times New Roman" w:hAnsi="Times New Roman"/>
                <w:bCs/>
                <w:sz w:val="24"/>
                <w:szCs w:val="24"/>
              </w:rPr>
              <w:t>50–80</w:t>
            </w:r>
          </w:p>
        </w:tc>
        <w:tc>
          <w:tcPr>
            <w:cnfStyle w:val="000000100000"/>
            <w:tcW w:w="1567" w:type="dxa"/>
          </w:tcPr>
          <w:p w14:paraId="000002AD">
            <w:pPr>
              <w:jc w:val="center"/>
              <w:rPr>
                <w:rFonts w:ascii="Times New Roman" w:cs="Times New Roman" w:hAnsi="Times New Roman"/>
                <w:bCs/>
                <w:sz w:val="24"/>
                <w:szCs w:val="24"/>
              </w:rPr>
            </w:pPr>
            <w:r>
              <w:rPr>
                <w:rFonts w:ascii="Times New Roman" w:cs="Times New Roman" w:hAnsi="Times New Roman"/>
                <w:bCs/>
                <w:sz w:val="24"/>
                <w:szCs w:val="24"/>
              </w:rPr>
              <w:t>30–50</w:t>
            </w:r>
          </w:p>
        </w:tc>
      </w:tr>
      <w:tr>
        <w:trPr/>
        <w:tc>
          <w:tcPr>
            <w:cnfStyle w:val="001000010000"/>
            <w:tcW w:w="0" w:type="auto"/>
          </w:tcPr>
          <w:p w14:paraId="000002AE">
            <w:pPr>
              <w:jc w:val="center"/>
              <w:rPr>
                <w:rFonts w:ascii="Times New Roman" w:cs="Times New Roman" w:hAnsi="Times New Roman"/>
                <w:bCs/>
                <w:sz w:val="24"/>
                <w:szCs w:val="24"/>
              </w:rPr>
            </w:pPr>
            <w:r>
              <w:rPr>
                <w:rFonts w:ascii="Times New Roman" w:cs="Times New Roman" w:hAnsi="Times New Roman"/>
                <w:bCs/>
                <w:sz w:val="24"/>
                <w:szCs w:val="24"/>
              </w:rPr>
              <w:t>Экологичность</w:t>
            </w:r>
          </w:p>
        </w:tc>
        <w:tc>
          <w:tcPr>
            <w:cnfStyle w:val="000000010000"/>
            <w:tcW w:w="2315" w:type="dxa"/>
          </w:tcPr>
          <w:p w14:paraId="000002AF">
            <w:pPr>
              <w:jc w:val="center"/>
              <w:rPr>
                <w:rFonts w:ascii="Times New Roman" w:cs="Times New Roman" w:hAnsi="Times New Roman"/>
                <w:bCs/>
                <w:sz w:val="24"/>
                <w:szCs w:val="24"/>
              </w:rPr>
            </w:pPr>
            <w:r>
              <w:rPr>
                <w:rFonts w:ascii="Times New Roman" w:cs="Times New Roman" w:hAnsi="Times New Roman"/>
                <w:bCs/>
                <w:sz w:val="24"/>
                <w:szCs w:val="24"/>
              </w:rPr>
              <w:t>Высокая</w:t>
            </w:r>
          </w:p>
        </w:tc>
        <w:tc>
          <w:tcPr>
            <w:cnfStyle w:val="000000010000"/>
            <w:tcW w:w="3044" w:type="dxa"/>
          </w:tcPr>
          <w:p w14:paraId="000002B0">
            <w:pPr>
              <w:jc w:val="center"/>
              <w:rPr>
                <w:rFonts w:ascii="Times New Roman" w:cs="Times New Roman" w:hAnsi="Times New Roman"/>
                <w:bCs/>
                <w:sz w:val="24"/>
                <w:szCs w:val="24"/>
              </w:rPr>
            </w:pPr>
            <w:r>
              <w:rPr>
                <w:rFonts w:ascii="Times New Roman" w:cs="Times New Roman" w:hAnsi="Times New Roman"/>
                <w:bCs/>
                <w:sz w:val="24"/>
                <w:szCs w:val="24"/>
              </w:rPr>
              <w:t>Высокая</w:t>
            </w:r>
          </w:p>
        </w:tc>
        <w:tc>
          <w:tcPr>
            <w:cnfStyle w:val="000000010000"/>
            <w:tcW w:w="1567" w:type="dxa"/>
          </w:tcPr>
          <w:p w14:paraId="000002B1">
            <w:pPr>
              <w:jc w:val="center"/>
              <w:rPr>
                <w:rFonts w:ascii="Times New Roman" w:cs="Times New Roman" w:hAnsi="Times New Roman"/>
                <w:bCs/>
                <w:sz w:val="24"/>
                <w:szCs w:val="24"/>
              </w:rPr>
            </w:pPr>
            <w:r>
              <w:rPr>
                <w:rFonts w:ascii="Times New Roman" w:cs="Times New Roman" w:hAnsi="Times New Roman"/>
                <w:bCs/>
                <w:sz w:val="24"/>
                <w:szCs w:val="24"/>
              </w:rPr>
              <w:t>Средняя</w:t>
            </w:r>
          </w:p>
        </w:tc>
      </w:tr>
    </w:tbl>
    <w:p w14:paraId="000002B2">
      <w:pPr>
        <w:ind w:firstLine="709"/>
        <w:rPr>
          <w:rFonts w:ascii="Times New Roman" w:cs="Times New Roman" w:hAnsi="Times New Roman"/>
          <w:b/>
          <w:bCs/>
          <w:i/>
          <w:iCs/>
          <w:sz w:val="28"/>
          <w:szCs w:val="28"/>
        </w:rPr>
      </w:pPr>
    </w:p>
    <w:p w14:paraId="000002B3">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Гиперпрессованный кирпич превосходит альтернативные материалы по всем ключевым эксплуатационным характеристикам (прочность, морозостойкость, долговечность, экологичность), хотя и уступает по цене. Для потребителей, ориентированных на качество и долговечность, эта разница в цене является приемлемой.</w:t>
      </w:r>
    </w:p>
    <w:p w14:paraId="000002B4">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По оценкам аналитического агентства «СтройИнфо», распределение рынка строительного кирпича в Пензенской области (всех видов) в 2025 году выглядело следующим образом (таблица 2.7) [58]:</w:t>
      </w:r>
    </w:p>
    <w:p w14:paraId="000002B5">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Таблица 2.7 – Оценка рыночных долей производителей кирпича в Пензенской области (2025 год) [58]</w:t>
      </w:r>
    </w:p>
    <w:tbl>
      <w:tblPr>
        <w:tblStyle w:val="TableGrid"/>
        <w:tblW w:w="9378" w:type="dxa"/>
        <w:tblInd w:w="117" w:type="dxa"/>
        <w:tblLook w:val="04A0"/>
      </w:tblPr>
      <w:tblGrid>
        <w:gridCol w:w="5877"/>
        <w:gridCol w:w="2115"/>
        <w:gridCol w:w="1386"/>
      </w:tblGrid>
      <w:tr>
        <w:trPr/>
        <w:tc>
          <w:tcPr>
            <w:cnfStyle w:val="101000000000"/>
            <w:tcW w:w="5877" w:type="dxa"/>
          </w:tcPr>
          <w:p w14:paraId="000002B6">
            <w:pPr>
              <w:jc w:val="center"/>
              <w:rPr>
                <w:rFonts w:ascii="Times New Roman" w:cs="Times New Roman" w:hAnsi="Times New Roman"/>
                <w:bCs/>
                <w:sz w:val="24"/>
                <w:szCs w:val="24"/>
              </w:rPr>
            </w:pPr>
            <w:r>
              <w:rPr>
                <w:rFonts w:ascii="Times New Roman" w:cs="Times New Roman" w:hAnsi="Times New Roman"/>
                <w:bCs/>
                <w:sz w:val="24"/>
                <w:szCs w:val="24"/>
              </w:rPr>
              <w:t>Производитель</w:t>
            </w:r>
          </w:p>
        </w:tc>
        <w:tc>
          <w:tcPr>
            <w:cnfStyle w:val="100000000000"/>
            <w:tcW w:w="2115" w:type="dxa"/>
          </w:tcPr>
          <w:p w14:paraId="000002B7">
            <w:pPr>
              <w:jc w:val="center"/>
              <w:rPr>
                <w:rFonts w:ascii="Times New Roman" w:cs="Times New Roman" w:hAnsi="Times New Roman"/>
                <w:bCs/>
                <w:sz w:val="24"/>
                <w:szCs w:val="24"/>
              </w:rPr>
            </w:pPr>
            <w:r>
              <w:rPr>
                <w:rFonts w:ascii="Times New Roman" w:cs="Times New Roman" w:hAnsi="Times New Roman"/>
                <w:bCs/>
                <w:sz w:val="24"/>
                <w:szCs w:val="24"/>
              </w:rPr>
              <w:t>Объём поставок, млн усл. шт.</w:t>
            </w:r>
          </w:p>
        </w:tc>
        <w:tc>
          <w:tcPr>
            <w:cnfStyle w:val="100000000000"/>
            <w:tcW w:w="1386" w:type="dxa"/>
          </w:tcPr>
          <w:p w14:paraId="000002B8">
            <w:pPr>
              <w:jc w:val="center"/>
              <w:rPr>
                <w:rFonts w:ascii="Times New Roman" w:cs="Times New Roman" w:hAnsi="Times New Roman"/>
                <w:bCs/>
                <w:sz w:val="24"/>
                <w:szCs w:val="24"/>
              </w:rPr>
            </w:pPr>
            <w:r>
              <w:rPr>
                <w:rFonts w:ascii="Times New Roman" w:cs="Times New Roman" w:hAnsi="Times New Roman"/>
                <w:bCs/>
                <w:sz w:val="24"/>
                <w:szCs w:val="24"/>
              </w:rPr>
              <w:t>Доля рынка, %</w:t>
            </w:r>
          </w:p>
        </w:tc>
      </w:tr>
      <w:tr>
        <w:trPr/>
        <w:tc>
          <w:tcPr>
            <w:cnfStyle w:val="001000100000"/>
            <w:tcW w:w="5877" w:type="dxa"/>
          </w:tcPr>
          <w:p w14:paraId="000002B9">
            <w:pPr>
              <w:jc w:val="both"/>
              <w:rPr>
                <w:rFonts w:ascii="Times New Roman" w:cs="Times New Roman" w:hAnsi="Times New Roman"/>
                <w:bCs/>
                <w:sz w:val="24"/>
                <w:szCs w:val="24"/>
              </w:rPr>
            </w:pPr>
            <w:r>
              <w:rPr>
                <w:rFonts w:ascii="Times New Roman" w:cs="Times New Roman" w:hAnsi="Times New Roman"/>
                <w:bCs/>
                <w:sz w:val="24"/>
                <w:szCs w:val="24"/>
              </w:rPr>
              <w:t>Пензенский кирпичный завод</w:t>
            </w:r>
          </w:p>
        </w:tc>
        <w:tc>
          <w:tcPr>
            <w:cnfStyle w:val="000000100000"/>
            <w:tcW w:w="2115" w:type="dxa"/>
          </w:tcPr>
          <w:p w14:paraId="000002BA">
            <w:pPr>
              <w:jc w:val="center"/>
              <w:rPr>
                <w:rFonts w:ascii="Times New Roman" w:cs="Times New Roman" w:hAnsi="Times New Roman"/>
                <w:bCs/>
                <w:sz w:val="24"/>
                <w:szCs w:val="24"/>
              </w:rPr>
            </w:pPr>
            <w:r>
              <w:rPr>
                <w:rFonts w:ascii="Times New Roman" w:cs="Times New Roman" w:hAnsi="Times New Roman"/>
                <w:bCs/>
                <w:sz w:val="24"/>
                <w:szCs w:val="24"/>
              </w:rPr>
              <w:t>22</w:t>
            </w:r>
          </w:p>
        </w:tc>
        <w:tc>
          <w:tcPr>
            <w:cnfStyle w:val="000000100000"/>
            <w:tcW w:w="1386" w:type="dxa"/>
          </w:tcPr>
          <w:p w14:paraId="000002BB">
            <w:pPr>
              <w:jc w:val="center"/>
              <w:rPr>
                <w:rFonts w:ascii="Times New Roman" w:cs="Times New Roman" w:hAnsi="Times New Roman"/>
                <w:bCs/>
                <w:sz w:val="24"/>
                <w:szCs w:val="24"/>
              </w:rPr>
            </w:pPr>
            <w:r>
              <w:rPr>
                <w:rFonts w:ascii="Times New Roman" w:cs="Times New Roman" w:hAnsi="Times New Roman"/>
                <w:bCs/>
                <w:sz w:val="24"/>
                <w:szCs w:val="24"/>
              </w:rPr>
              <w:t>26</w:t>
            </w:r>
          </w:p>
        </w:tc>
      </w:tr>
      <w:tr>
        <w:trPr>
          <w:trHeight w:val="248"/>
        </w:trPr>
        <w:tc>
          <w:tcPr>
            <w:cnfStyle w:val="001000010000"/>
            <w:tcW w:w="5877" w:type="dxa"/>
          </w:tcPr>
          <w:p w14:paraId="000002BC">
            <w:pPr>
              <w:jc w:val="both"/>
              <w:rPr>
                <w:rFonts w:ascii="Times New Roman" w:cs="Times New Roman" w:hAnsi="Times New Roman"/>
                <w:bCs/>
                <w:sz w:val="24"/>
                <w:szCs w:val="24"/>
              </w:rPr>
            </w:pPr>
            <w:r>
              <w:rPr>
                <w:rFonts w:ascii="Times New Roman" w:cs="Times New Roman" w:hAnsi="Times New Roman"/>
                <w:bCs/>
                <w:sz w:val="24"/>
                <w:szCs w:val="24"/>
              </w:rPr>
              <w:t>Нижнеломовский кирпичный завод</w:t>
            </w:r>
          </w:p>
        </w:tc>
        <w:tc>
          <w:tcPr>
            <w:cnfStyle w:val="000000010000"/>
            <w:tcW w:w="2115" w:type="dxa"/>
          </w:tcPr>
          <w:p w14:paraId="000002BD">
            <w:pPr>
              <w:jc w:val="center"/>
              <w:rPr>
                <w:rFonts w:ascii="Times New Roman" w:cs="Times New Roman" w:hAnsi="Times New Roman"/>
                <w:bCs/>
                <w:sz w:val="24"/>
                <w:szCs w:val="24"/>
              </w:rPr>
            </w:pPr>
            <w:r>
              <w:rPr>
                <w:rFonts w:ascii="Times New Roman" w:cs="Times New Roman" w:hAnsi="Times New Roman"/>
                <w:bCs/>
                <w:sz w:val="24"/>
                <w:szCs w:val="24"/>
              </w:rPr>
              <w:t>13</w:t>
            </w:r>
          </w:p>
        </w:tc>
        <w:tc>
          <w:tcPr>
            <w:cnfStyle w:val="000000010000"/>
            <w:tcW w:w="1386" w:type="dxa"/>
          </w:tcPr>
          <w:p w14:paraId="000002BE">
            <w:pPr>
              <w:jc w:val="center"/>
              <w:rPr>
                <w:rFonts w:ascii="Times New Roman" w:cs="Times New Roman" w:hAnsi="Times New Roman"/>
                <w:bCs/>
                <w:sz w:val="24"/>
                <w:szCs w:val="24"/>
              </w:rPr>
            </w:pPr>
            <w:r>
              <w:rPr>
                <w:rFonts w:ascii="Times New Roman" w:cs="Times New Roman" w:hAnsi="Times New Roman"/>
                <w:bCs/>
                <w:sz w:val="24"/>
                <w:szCs w:val="24"/>
              </w:rPr>
              <w:t>15</w:t>
            </w:r>
          </w:p>
        </w:tc>
      </w:tr>
      <w:tr>
        <w:trPr/>
        <w:tc>
          <w:tcPr>
            <w:cnfStyle w:val="001000100000"/>
            <w:tcW w:w="5877" w:type="dxa"/>
          </w:tcPr>
          <w:p w14:paraId="000002BF">
            <w:pPr>
              <w:jc w:val="both"/>
              <w:rPr>
                <w:rFonts w:ascii="Times New Roman" w:cs="Times New Roman" w:hAnsi="Times New Roman"/>
                <w:bCs/>
                <w:sz w:val="24"/>
                <w:szCs w:val="24"/>
              </w:rPr>
            </w:pPr>
            <w:r>
              <w:rPr>
                <w:rFonts w:ascii="Times New Roman" w:cs="Times New Roman" w:hAnsi="Times New Roman"/>
                <w:bCs/>
                <w:sz w:val="24"/>
                <w:szCs w:val="24"/>
              </w:rPr>
              <w:t>Кузнецкий кирпичный завод</w:t>
            </w:r>
          </w:p>
        </w:tc>
        <w:tc>
          <w:tcPr>
            <w:cnfStyle w:val="000000100000"/>
            <w:tcW w:w="2115" w:type="dxa"/>
          </w:tcPr>
          <w:p w14:paraId="000002C0">
            <w:pPr>
              <w:jc w:val="center"/>
              <w:rPr>
                <w:rFonts w:ascii="Times New Roman" w:cs="Times New Roman" w:hAnsi="Times New Roman"/>
                <w:bCs/>
                <w:sz w:val="24"/>
                <w:szCs w:val="24"/>
              </w:rPr>
            </w:pPr>
            <w:r>
              <w:rPr>
                <w:rFonts w:ascii="Times New Roman" w:cs="Times New Roman" w:hAnsi="Times New Roman"/>
                <w:bCs/>
                <w:sz w:val="24"/>
                <w:szCs w:val="24"/>
              </w:rPr>
              <w:t>8</w:t>
            </w:r>
          </w:p>
        </w:tc>
        <w:tc>
          <w:tcPr>
            <w:cnfStyle w:val="000000100000"/>
            <w:tcW w:w="1386" w:type="dxa"/>
          </w:tcPr>
          <w:p w14:paraId="000002C1">
            <w:pPr>
              <w:jc w:val="center"/>
              <w:rPr>
                <w:rFonts w:ascii="Times New Roman" w:cs="Times New Roman" w:hAnsi="Times New Roman"/>
                <w:bCs/>
                <w:sz w:val="24"/>
                <w:szCs w:val="24"/>
              </w:rPr>
            </w:pPr>
            <w:r>
              <w:rPr>
                <w:rFonts w:ascii="Times New Roman" w:cs="Times New Roman" w:hAnsi="Times New Roman"/>
                <w:bCs/>
                <w:sz w:val="24"/>
                <w:szCs w:val="24"/>
              </w:rPr>
              <w:t>9</w:t>
            </w:r>
          </w:p>
        </w:tc>
      </w:tr>
      <w:tr>
        <w:trPr/>
        <w:tc>
          <w:tcPr>
            <w:cnfStyle w:val="001000010000"/>
            <w:tcW w:w="5877" w:type="dxa"/>
          </w:tcPr>
          <w:p w14:paraId="000002C2">
            <w:pPr>
              <w:jc w:val="both"/>
              <w:rPr>
                <w:rFonts w:ascii="Times New Roman" w:cs="Times New Roman" w:hAnsi="Times New Roman"/>
                <w:bCs/>
                <w:sz w:val="24"/>
                <w:szCs w:val="24"/>
              </w:rPr>
            </w:pPr>
            <w:r>
              <w:rPr>
                <w:rFonts w:ascii="Times New Roman" w:cs="Times New Roman" w:hAnsi="Times New Roman"/>
                <w:bCs/>
                <w:sz w:val="24"/>
                <w:szCs w:val="24"/>
              </w:rPr>
              <w:t>Прочие местные производители</w:t>
            </w:r>
          </w:p>
        </w:tc>
        <w:tc>
          <w:tcPr>
            <w:cnfStyle w:val="000000010000"/>
            <w:tcW w:w="2115" w:type="dxa"/>
          </w:tcPr>
          <w:p w14:paraId="000002C3">
            <w:pPr>
              <w:jc w:val="center"/>
              <w:rPr>
                <w:rFonts w:ascii="Times New Roman" w:cs="Times New Roman" w:hAnsi="Times New Roman"/>
                <w:bCs/>
                <w:sz w:val="24"/>
                <w:szCs w:val="24"/>
              </w:rPr>
            </w:pPr>
            <w:r>
              <w:rPr>
                <w:rFonts w:ascii="Times New Roman" w:cs="Times New Roman" w:hAnsi="Times New Roman"/>
                <w:bCs/>
                <w:sz w:val="24"/>
                <w:szCs w:val="24"/>
              </w:rPr>
              <w:t>7</w:t>
            </w:r>
          </w:p>
        </w:tc>
        <w:tc>
          <w:tcPr>
            <w:cnfStyle w:val="000000010000"/>
            <w:tcW w:w="1386" w:type="dxa"/>
          </w:tcPr>
          <w:p w14:paraId="000002C4">
            <w:pPr>
              <w:jc w:val="center"/>
              <w:rPr>
                <w:rFonts w:ascii="Times New Roman" w:cs="Times New Roman" w:hAnsi="Times New Roman"/>
                <w:bCs/>
                <w:sz w:val="24"/>
                <w:szCs w:val="24"/>
              </w:rPr>
            </w:pPr>
            <w:r>
              <w:rPr>
                <w:rFonts w:ascii="Times New Roman" w:cs="Times New Roman" w:hAnsi="Times New Roman"/>
                <w:bCs/>
                <w:sz w:val="24"/>
                <w:szCs w:val="24"/>
              </w:rPr>
              <w:t>8</w:t>
            </w:r>
          </w:p>
        </w:tc>
      </w:tr>
      <w:tr>
        <w:trPr/>
        <w:tc>
          <w:tcPr>
            <w:cnfStyle w:val="001000100000"/>
            <w:tcW w:w="5877" w:type="dxa"/>
          </w:tcPr>
          <w:p w14:paraId="000002C5">
            <w:pPr>
              <w:jc w:val="both"/>
              <w:rPr>
                <w:rFonts w:ascii="Times New Roman" w:cs="Times New Roman" w:hAnsi="Times New Roman"/>
                <w:bCs/>
                <w:sz w:val="24"/>
                <w:szCs w:val="24"/>
              </w:rPr>
            </w:pPr>
            <w:r>
              <w:rPr>
                <w:rFonts w:ascii="Times New Roman" w:cs="Times New Roman" w:hAnsi="Times New Roman"/>
                <w:bCs/>
                <w:sz w:val="24"/>
                <w:szCs w:val="24"/>
              </w:rPr>
              <w:t>Поставщики из других регионов (в т.ч. гиперпрессованного кирпича)</w:t>
            </w:r>
          </w:p>
        </w:tc>
        <w:tc>
          <w:tcPr>
            <w:cnfStyle w:val="000000100000"/>
            <w:tcW w:w="2115" w:type="dxa"/>
          </w:tcPr>
          <w:p w14:paraId="000002C6">
            <w:pPr>
              <w:jc w:val="center"/>
              <w:rPr>
                <w:rFonts w:ascii="Times New Roman" w:cs="Times New Roman" w:hAnsi="Times New Roman"/>
                <w:bCs/>
                <w:sz w:val="24"/>
                <w:szCs w:val="24"/>
              </w:rPr>
            </w:pPr>
            <w:r>
              <w:rPr>
                <w:rFonts w:ascii="Times New Roman" w:cs="Times New Roman" w:hAnsi="Times New Roman"/>
                <w:bCs/>
                <w:sz w:val="24"/>
                <w:szCs w:val="24"/>
              </w:rPr>
              <w:t>35</w:t>
            </w:r>
          </w:p>
        </w:tc>
        <w:tc>
          <w:tcPr>
            <w:cnfStyle w:val="000000100000"/>
            <w:tcW w:w="1386" w:type="dxa"/>
          </w:tcPr>
          <w:p w14:paraId="000002C7">
            <w:pPr>
              <w:jc w:val="center"/>
              <w:rPr>
                <w:rFonts w:ascii="Times New Roman" w:cs="Times New Roman" w:hAnsi="Times New Roman"/>
                <w:bCs/>
                <w:sz w:val="24"/>
                <w:szCs w:val="24"/>
              </w:rPr>
            </w:pPr>
            <w:r>
              <w:rPr>
                <w:rFonts w:ascii="Times New Roman" w:cs="Times New Roman" w:hAnsi="Times New Roman"/>
                <w:bCs/>
                <w:sz w:val="24"/>
                <w:szCs w:val="24"/>
              </w:rPr>
              <w:t>42</w:t>
            </w:r>
          </w:p>
        </w:tc>
      </w:tr>
      <w:tr>
        <w:trPr/>
        <w:tc>
          <w:tcPr>
            <w:cnfStyle w:val="001000010000"/>
            <w:tcW w:w="5877" w:type="dxa"/>
          </w:tcPr>
          <w:p w14:paraId="000002C8">
            <w:pPr>
              <w:jc w:val="both"/>
              <w:rPr>
                <w:rFonts w:ascii="Times New Roman" w:cs="Times New Roman" w:hAnsi="Times New Roman"/>
                <w:bCs/>
                <w:sz w:val="24"/>
                <w:szCs w:val="24"/>
              </w:rPr>
            </w:pPr>
            <w:r>
              <w:rPr>
                <w:rFonts w:ascii="Times New Roman" w:cs="Times New Roman" w:hAnsi="Times New Roman"/>
                <w:bCs/>
                <w:sz w:val="24"/>
                <w:szCs w:val="24"/>
              </w:rPr>
              <w:t>Итого</w:t>
            </w:r>
          </w:p>
        </w:tc>
        <w:tc>
          <w:tcPr>
            <w:cnfStyle w:val="000000010000"/>
            <w:tcW w:w="2115" w:type="dxa"/>
          </w:tcPr>
          <w:p w14:paraId="000002C9">
            <w:pPr>
              <w:jc w:val="center"/>
              <w:rPr>
                <w:rFonts w:ascii="Times New Roman" w:cs="Times New Roman" w:hAnsi="Times New Roman"/>
                <w:bCs/>
                <w:sz w:val="24"/>
                <w:szCs w:val="24"/>
              </w:rPr>
            </w:pPr>
            <w:r>
              <w:rPr>
                <w:rFonts w:ascii="Times New Roman" w:cs="Times New Roman" w:hAnsi="Times New Roman"/>
                <w:bCs/>
                <w:sz w:val="24"/>
                <w:szCs w:val="24"/>
              </w:rPr>
              <w:t>85</w:t>
            </w:r>
          </w:p>
        </w:tc>
        <w:tc>
          <w:tcPr>
            <w:cnfStyle w:val="000000010000"/>
            <w:tcW w:w="1386" w:type="dxa"/>
          </w:tcPr>
          <w:p w14:paraId="000002CA">
            <w:pPr>
              <w:jc w:val="center"/>
              <w:rPr>
                <w:rFonts w:ascii="Times New Roman" w:cs="Times New Roman" w:hAnsi="Times New Roman"/>
                <w:bCs/>
                <w:sz w:val="24"/>
                <w:szCs w:val="24"/>
              </w:rPr>
            </w:pPr>
            <w:r>
              <w:rPr>
                <w:rFonts w:ascii="Times New Roman" w:cs="Times New Roman" w:hAnsi="Times New Roman"/>
                <w:bCs/>
                <w:sz w:val="24"/>
                <w:szCs w:val="24"/>
              </w:rPr>
              <w:t>100</w:t>
            </w:r>
          </w:p>
        </w:tc>
      </w:tr>
    </w:tbl>
    <w:p w14:paraId="000002CB">
      <w:pPr>
        <w:ind w:firstLine="709"/>
        <w:rPr>
          <w:rFonts w:ascii="Times New Roman" w:cs="Times New Roman" w:hAnsi="Times New Roman"/>
          <w:b/>
          <w:bCs/>
          <w:i/>
          <w:iCs/>
          <w:sz w:val="28"/>
          <w:szCs w:val="28"/>
        </w:rPr>
      </w:pPr>
    </w:p>
    <w:p w14:paraId="000002CC">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Половина рынка кирпича в Пензенской области занята поставщиками из других регионов, что указывает на неудовлетворённый спрос, закрываемый местным производством. Доля гиперпрессованного кирпича составляет 3–5% (2–3 млн шт.), но в денежном выражении она выше из-за высокой цены.</w:t>
      </w:r>
    </w:p>
    <w:p w14:paraId="000002CD">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На основе анализа конкурентов можно выделить следующие конкурентные преимущества, которые необходимо реализовать с учётом потребностей регионального строительного рынка и потребителей:</w:t>
      </w:r>
    </w:p>
    <w:p w14:paraId="000002CE">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1) локализация производства в Пензенской области, отсутствие транспортных расходов при поставках внутри региона позволяет установить цену на 20–35% ниже, чем у конкурентов из других регионов;</w:t>
      </w:r>
    </w:p>
    <w:p w14:paraId="000002CF">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2) современное оборудование и стабильное качество, использование гидравлического пресса с автоматическим дозированием и системой контроля качества минимизирует брак (не более 1%), предполагается получить добровольную сертификацию ISO 9001;</w:t>
      </w:r>
    </w:p>
    <w:p w14:paraId="000002D0">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3) широкий ассортимент, планируется выпускать 12 цветов (включая редкие: антрацит, шоколад, кремовый) и 3 фактуры («скала», «ригель», гладкая), что превышает ассортимент ближайших конкурентов (5–6 цветов у «Федерации кирпича»);</w:t>
      </w:r>
    </w:p>
    <w:p w14:paraId="000002D1">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4) возможность изготовления нестандартных размеров под заказ – уникальное предложение, отсутствующее у конкурентов в регионе;</w:t>
      </w:r>
    </w:p>
    <w:p w14:paraId="000002D2">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5) гарантия 5 лет – превышает гарантии конкурентов (1–3 года), что повышает доверие потребителей;</w:t>
      </w:r>
    </w:p>
    <w:p w14:paraId="000002D3">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6) дополнительные услуги: бесплатные образцы, консультации по кладке и подбору цвета, доставка по Пензе и Пензенской области (за небольшую плату).</w:t>
      </w:r>
    </w:p>
    <w:p w14:paraId="000002D4">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Для систематизации информации о конкурентах и выявления их сильных и слабых сторон был проведён многофакторный анализ конкурентной среды, учитывающий не только традиционное соотношение цены и качества, но и такие параметры, как логистические издержки, ассортиментная гибкость, условия работы с клиентами, гарантийные обязательства и наличие сертификатов. В условиях регионального рынка Пензенской области, где транспортная составляющая существенно влияет на конечную цену продукции, такой комплексный подход является критически важным для обоснования конкурентной стратегии нового предприятия.</w:t>
      </w:r>
    </w:p>
    <w:p w14:paraId="000002D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Конкурентный анализ позволяет сделать следующие выводы. На рынке Пензенской области отсутствует местное производство гиперпрессованного кирпича. Потребители вынуждены заказывать продукцию из других регионов (Тульская, Московская, Самарская области) и переплачивать за доставку 20–35%. Ближайший конкурент («Федерация кирпича», Самарская область) имеет ограниченный ассортимент (5–6 цветов) и нестабильное качество. Проектируемое предприятие с ценой 25–30 руб./шт., ассортиментом 12 цветов, возможностью изготовления нестандартных размеров и гарантией 5 лет обладает значительными конкурентными преимуществами. При выходе на проектную мощность предприятие сможет занять до 30–40% рынка гиперпрессованного кирпича в регионе.</w:t>
      </w:r>
    </w:p>
    <w:p w14:paraId="000002D6">
      <w:pPr>
        <w:spacing w:beforeAutospacing="0" w:after="0" w:afterAutospacing="0" w:line="360" w:lineRule="auto"/>
        <w:ind w:firstLine="709"/>
        <w:jc w:val="both"/>
        <w:rPr>
          <w:rFonts w:ascii="Times New Roman" w:cs="Times New Roman" w:hAnsi="Times New Roman"/>
          <w:sz w:val="28"/>
          <w:szCs w:val="28"/>
        </w:rPr>
      </w:pPr>
    </w:p>
    <w:p w14:paraId="000002D7">
      <w:pPr>
        <w:spacing w:beforeAutospacing="0" w:after="0" w:afterAutospacing="0" w:line="360" w:lineRule="auto"/>
        <w:ind w:firstLine="709"/>
        <w:jc w:val="both"/>
        <w:rPr>
          <w:rFonts w:ascii="Times New Roman" w:cs="Times New Roman" w:hAnsi="Times New Roman"/>
          <w:b/>
          <w:bCs/>
          <w:sz w:val="28"/>
          <w:szCs w:val="28"/>
        </w:rPr>
      </w:pPr>
    </w:p>
    <w:p w14:paraId="000002D8">
      <w:pPr>
        <w:pStyle w:val="Heading1"/>
        <w:spacing w:before="0" w:beforeAutospacing="0" w:afterAutospacing="0" w:line="360" w:lineRule="auto"/>
        <w:ind w:firstLine="709"/>
        <w:jc w:val="both"/>
        <w:rPr>
          <w:rFonts w:ascii="Times New Roman" w:cs="Times New Roman" w:hAnsi="Times New Roman"/>
          <w:b/>
          <w:bCs/>
          <w:color w:val="auto"/>
          <w:sz w:val="28"/>
          <w:szCs w:val="28"/>
        </w:rPr>
      </w:pPr>
      <w:bookmarkStart w:id="4" w:name="_Toc232406679"/>
      <w:r>
        <w:rPr>
          <w:rFonts w:ascii="Times New Roman" w:cs="Times New Roman" w:hAnsi="Times New Roman"/>
          <w:b/>
          <w:bCs/>
          <w:color w:val="auto"/>
          <w:sz w:val="28"/>
          <w:szCs w:val="28"/>
        </w:rPr>
        <w:t>2.3 Анализ потребителей рынка и определение потребительских предпочтений</w:t>
      </w:r>
      <w:bookmarkEnd w:id="4"/>
    </w:p>
    <w:p w14:paraId="000002D9">
      <w:pPr>
        <w:spacing w:beforeAutospacing="0" w:after="0" w:afterAutospacing="0" w:line="360" w:lineRule="auto"/>
        <w:ind w:firstLine="709"/>
        <w:jc w:val="both"/>
        <w:rPr>
          <w:rFonts w:ascii="Times New Roman" w:cs="Times New Roman" w:hAnsi="Times New Roman"/>
          <w:sz w:val="28"/>
          <w:szCs w:val="28"/>
        </w:rPr>
      </w:pPr>
    </w:p>
    <w:p w14:paraId="000002DA">
      <w:pPr>
        <w:spacing w:beforeAutospacing="0" w:after="0" w:afterAutospacing="0" w:line="360" w:lineRule="auto"/>
        <w:ind w:firstLine="709"/>
        <w:jc w:val="both"/>
        <w:rPr>
          <w:rFonts w:ascii="Times New Roman" w:cs="Times New Roman" w:hAnsi="Times New Roman"/>
          <w:sz w:val="28"/>
          <w:szCs w:val="28"/>
        </w:rPr>
      </w:pPr>
    </w:p>
    <w:p w14:paraId="000002D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формирования эффективной сбытовой политики необходимо понять, кто является потенциальными покупателями гиперпрессованного кирпича, каковы их мотивы, критерии выбора и каналы получения информации. В данном параграфе рассматриваются сегменты потребителей Пензенской области, их характеристики и предпочтения.</w:t>
      </w:r>
    </w:p>
    <w:p w14:paraId="000002D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Потребителей гиперпрессованного кирпича в Пензенской области далее можно разделить на три основные группы (таблица 2.8).</w:t>
      </w:r>
    </w:p>
    <w:p w14:paraId="000002D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Профессиональные застройщики и строительные компании.</w:t>
      </w:r>
      <w:r>
        <w:rPr>
          <w:rFonts w:ascii="Times New Roman" w:cs="Times New Roman" w:hAnsi="Times New Roman"/>
          <w:sz w:val="28"/>
          <w:szCs w:val="28"/>
        </w:rPr>
        <w:t> Доля в общем спросе – 60–70%. Это компании, возводящие многоквартирные дома, коттеджные посёлки, таунхаусы, коммерческие объекты в Пензе и области. Для них критичны: стабильность поставок (отсутствие срывов сроков), соответствие ГОСТ и наличие сертификатов, возможность отсрочки платежа (30–60 дней), соотношение цены и качества.</w:t>
      </w:r>
    </w:p>
    <w:p w14:paraId="000002D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Индивидуальные застройщики (физические лица, ИЖС).</w:t>
      </w:r>
      <w:r>
        <w:rPr>
          <w:rFonts w:ascii="Times New Roman" w:cs="Times New Roman" w:hAnsi="Times New Roman"/>
          <w:sz w:val="28"/>
          <w:szCs w:val="28"/>
        </w:rPr>
        <w:t> Доля в спросе – 20–25%. Это жители Пензенской области с доходом выше среднего, строящие дом для себя. Для них важны: эстетика (цвет, фактура), долговечность и экологичность, цена (но не главный критерий), возможность купить мелкую партию (500–2000 шт.), доставка до участка.</w:t>
      </w:r>
    </w:p>
    <w:p w14:paraId="000002D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Строительные гипермаркеты и оптовые базы.</w:t>
      </w:r>
      <w:r>
        <w:rPr>
          <w:rFonts w:ascii="Times New Roman" w:cs="Times New Roman" w:hAnsi="Times New Roman"/>
          <w:sz w:val="28"/>
          <w:szCs w:val="28"/>
        </w:rPr>
        <w:t> Доля в спросе – 10–15%. Каналы сбыта: «Максидом», «Стройландия», региональные оптовые базы. Требования: стабильный ассортимент, удобная упаковка (поддоны, термоусадочная плёнка), налаженная логистика, конкурентная закупочная цена [25].</w:t>
      </w:r>
    </w:p>
    <w:p w14:paraId="000002E0">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2.8 – Характеристика сегментов потребителей гиперпрессованного кирпича в Пензенской области</w:t>
      </w:r>
    </w:p>
    <w:tbl>
      <w:tblPr>
        <w:tblStyle w:val="TableGrid"/>
        <w:tblW w:w="9423" w:type="dxa"/>
        <w:tblInd w:w="68" w:type="dxa"/>
        <w:tblLook w:val="04A0"/>
      </w:tblPr>
      <w:tblGrid>
        <w:gridCol w:w="2371"/>
        <w:gridCol w:w="2371"/>
        <w:gridCol w:w="2372"/>
        <w:gridCol w:w="2309"/>
      </w:tblGrid>
      <w:tr>
        <w:trPr/>
        <w:tc>
          <w:tcPr>
            <w:cnfStyle w:val="101000000000"/>
            <w:tcW w:w="2371" w:type="dxa"/>
          </w:tcPr>
          <w:p w14:paraId="000002E1">
            <w:pPr>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cnfStyle w:val="100000000000"/>
            <w:tcW w:w="2371" w:type="dxa"/>
          </w:tcPr>
          <w:p w14:paraId="000002E2">
            <w:pPr>
              <w:jc w:val="center"/>
              <w:rPr>
                <w:rFonts w:ascii="Times New Roman" w:cs="Times New Roman" w:hAnsi="Times New Roman"/>
                <w:sz w:val="24"/>
                <w:szCs w:val="24"/>
              </w:rPr>
            </w:pPr>
            <w:r>
              <w:rPr>
                <w:rFonts w:ascii="Times New Roman" w:cs="Times New Roman" w:hAnsi="Times New Roman"/>
                <w:sz w:val="24"/>
                <w:szCs w:val="24"/>
              </w:rPr>
              <w:t>Профессиональные застройщики</w:t>
            </w:r>
          </w:p>
        </w:tc>
        <w:tc>
          <w:tcPr>
            <w:cnfStyle w:val="100000000000"/>
            <w:tcW w:w="2372" w:type="dxa"/>
          </w:tcPr>
          <w:p w14:paraId="000002E3">
            <w:pPr>
              <w:jc w:val="center"/>
              <w:rPr>
                <w:rFonts w:ascii="Times New Roman" w:cs="Times New Roman" w:hAnsi="Times New Roman"/>
                <w:sz w:val="24"/>
                <w:szCs w:val="24"/>
              </w:rPr>
            </w:pPr>
            <w:r>
              <w:rPr>
                <w:rFonts w:ascii="Times New Roman" w:cs="Times New Roman" w:hAnsi="Times New Roman"/>
                <w:sz w:val="24"/>
                <w:szCs w:val="24"/>
              </w:rPr>
              <w:t>Индивидуальные застройщики</w:t>
            </w:r>
          </w:p>
        </w:tc>
        <w:tc>
          <w:tcPr>
            <w:cnfStyle w:val="100000000000"/>
            <w:tcW w:w="2309" w:type="dxa"/>
          </w:tcPr>
          <w:p w14:paraId="000002E4">
            <w:pPr>
              <w:jc w:val="center"/>
              <w:rPr>
                <w:rFonts w:ascii="Times New Roman" w:cs="Times New Roman" w:hAnsi="Times New Roman"/>
                <w:sz w:val="24"/>
                <w:szCs w:val="24"/>
              </w:rPr>
            </w:pPr>
            <w:r>
              <w:rPr>
                <w:rFonts w:ascii="Times New Roman" w:cs="Times New Roman" w:hAnsi="Times New Roman"/>
                <w:sz w:val="24"/>
                <w:szCs w:val="24"/>
              </w:rPr>
              <w:t>Строительные гипермаркеты</w:t>
            </w:r>
          </w:p>
        </w:tc>
      </w:tr>
      <w:tr>
        <w:trPr/>
        <w:tc>
          <w:tcPr>
            <w:cnfStyle w:val="001000100000"/>
            <w:tcW w:w="2371" w:type="dxa"/>
          </w:tcPr>
          <w:p w14:paraId="000002E5">
            <w:pPr>
              <w:jc w:val="both"/>
              <w:rPr>
                <w:rFonts w:ascii="Times New Roman" w:cs="Times New Roman" w:hAnsi="Times New Roman"/>
                <w:sz w:val="24"/>
                <w:szCs w:val="24"/>
              </w:rPr>
            </w:pPr>
            <w:r>
              <w:rPr>
                <w:rFonts w:ascii="Times New Roman" w:cs="Times New Roman" w:hAnsi="Times New Roman"/>
                <w:sz w:val="24"/>
                <w:szCs w:val="24"/>
              </w:rPr>
              <w:t>Доля в спросе</w:t>
            </w:r>
          </w:p>
        </w:tc>
        <w:tc>
          <w:tcPr>
            <w:cnfStyle w:val="000000100000"/>
            <w:tcW w:w="2371" w:type="dxa"/>
          </w:tcPr>
          <w:p w14:paraId="000002E6">
            <w:pPr>
              <w:jc w:val="both"/>
              <w:rPr>
                <w:rFonts w:ascii="Times New Roman" w:cs="Times New Roman" w:hAnsi="Times New Roman"/>
                <w:sz w:val="24"/>
                <w:szCs w:val="24"/>
              </w:rPr>
            </w:pPr>
            <w:r>
              <w:rPr>
                <w:rFonts w:ascii="Times New Roman" w:cs="Times New Roman" w:hAnsi="Times New Roman"/>
                <w:sz w:val="24"/>
                <w:szCs w:val="24"/>
              </w:rPr>
              <w:t>60–70%</w:t>
            </w:r>
          </w:p>
        </w:tc>
        <w:tc>
          <w:tcPr>
            <w:cnfStyle w:val="000000100000"/>
            <w:tcW w:w="2372" w:type="dxa"/>
          </w:tcPr>
          <w:p w14:paraId="000002E7">
            <w:pPr>
              <w:jc w:val="both"/>
              <w:rPr>
                <w:rFonts w:ascii="Times New Roman" w:cs="Times New Roman" w:hAnsi="Times New Roman"/>
                <w:sz w:val="24"/>
                <w:szCs w:val="24"/>
              </w:rPr>
            </w:pPr>
            <w:r>
              <w:rPr>
                <w:rFonts w:ascii="Times New Roman" w:cs="Times New Roman" w:hAnsi="Times New Roman"/>
                <w:sz w:val="24"/>
                <w:szCs w:val="24"/>
              </w:rPr>
              <w:t>20–25%</w:t>
            </w:r>
          </w:p>
        </w:tc>
        <w:tc>
          <w:tcPr>
            <w:cnfStyle w:val="000000100000"/>
            <w:tcW w:w="2309" w:type="dxa"/>
          </w:tcPr>
          <w:p w14:paraId="000002E8">
            <w:pPr>
              <w:jc w:val="both"/>
              <w:rPr>
                <w:rFonts w:ascii="Times New Roman" w:cs="Times New Roman" w:hAnsi="Times New Roman"/>
                <w:sz w:val="24"/>
                <w:szCs w:val="24"/>
              </w:rPr>
            </w:pPr>
            <w:r>
              <w:rPr>
                <w:rFonts w:ascii="Times New Roman" w:cs="Times New Roman" w:hAnsi="Times New Roman"/>
                <w:sz w:val="24"/>
                <w:szCs w:val="24"/>
              </w:rPr>
              <w:t>10–15%</w:t>
            </w:r>
          </w:p>
        </w:tc>
      </w:tr>
      <w:tr>
        <w:trPr/>
        <w:tc>
          <w:tcPr>
            <w:cnfStyle w:val="001000010000"/>
            <w:tcW w:w="2371" w:type="dxa"/>
          </w:tcPr>
          <w:p w14:paraId="000002E9">
            <w:pPr>
              <w:jc w:val="both"/>
              <w:rPr>
                <w:rFonts w:ascii="Times New Roman" w:cs="Times New Roman" w:hAnsi="Times New Roman"/>
                <w:sz w:val="24"/>
                <w:szCs w:val="24"/>
              </w:rPr>
            </w:pPr>
            <w:r>
              <w:rPr>
                <w:rFonts w:ascii="Times New Roman" w:cs="Times New Roman" w:hAnsi="Times New Roman"/>
                <w:sz w:val="24"/>
                <w:szCs w:val="24"/>
              </w:rPr>
              <w:t>Средний объём заказа</w:t>
            </w:r>
          </w:p>
        </w:tc>
        <w:tc>
          <w:tcPr>
            <w:cnfStyle w:val="000000010000"/>
            <w:tcW w:w="2371" w:type="dxa"/>
          </w:tcPr>
          <w:p w14:paraId="000002EA">
            <w:pPr>
              <w:jc w:val="both"/>
              <w:rPr>
                <w:rFonts w:ascii="Times New Roman" w:cs="Times New Roman" w:hAnsi="Times New Roman"/>
                <w:sz w:val="24"/>
                <w:szCs w:val="24"/>
              </w:rPr>
            </w:pPr>
            <w:r>
              <w:rPr>
                <w:rFonts w:ascii="Times New Roman" w:cs="Times New Roman" w:hAnsi="Times New Roman"/>
                <w:sz w:val="24"/>
                <w:szCs w:val="24"/>
              </w:rPr>
              <w:t>от 20 тыс. шт.</w:t>
            </w:r>
          </w:p>
        </w:tc>
        <w:tc>
          <w:tcPr>
            <w:cnfStyle w:val="000000010000"/>
            <w:tcW w:w="2372" w:type="dxa"/>
          </w:tcPr>
          <w:p w14:paraId="000002EB">
            <w:pPr>
              <w:jc w:val="both"/>
              <w:rPr>
                <w:rFonts w:ascii="Times New Roman" w:cs="Times New Roman" w:hAnsi="Times New Roman"/>
                <w:sz w:val="24"/>
                <w:szCs w:val="24"/>
              </w:rPr>
            </w:pPr>
            <w:r>
              <w:rPr>
                <w:rFonts w:ascii="Times New Roman" w:cs="Times New Roman" w:hAnsi="Times New Roman"/>
                <w:sz w:val="24"/>
                <w:szCs w:val="24"/>
              </w:rPr>
              <w:t>от 1 до 10 тыс. шт.</w:t>
            </w:r>
          </w:p>
        </w:tc>
        <w:tc>
          <w:tcPr>
            <w:cnfStyle w:val="000000010000"/>
            <w:tcW w:w="2309" w:type="dxa"/>
          </w:tcPr>
          <w:p w14:paraId="000002EC">
            <w:pPr>
              <w:jc w:val="both"/>
              <w:rPr>
                <w:rFonts w:ascii="Times New Roman" w:cs="Times New Roman" w:hAnsi="Times New Roman"/>
                <w:sz w:val="24"/>
                <w:szCs w:val="24"/>
              </w:rPr>
            </w:pPr>
            <w:r>
              <w:rPr>
                <w:rFonts w:ascii="Times New Roman" w:cs="Times New Roman" w:hAnsi="Times New Roman"/>
                <w:sz w:val="24"/>
                <w:szCs w:val="24"/>
              </w:rPr>
              <w:t>от 10 до 30 тыс. шт.</w:t>
            </w:r>
          </w:p>
        </w:tc>
      </w:tr>
      <w:tr>
        <w:trPr/>
        <w:tc>
          <w:tcPr>
            <w:cnfStyle w:val="001000100000"/>
            <w:tcW w:w="2371" w:type="dxa"/>
          </w:tcPr>
          <w:p w14:paraId="000002ED">
            <w:pPr>
              <w:jc w:val="both"/>
              <w:rPr>
                <w:rFonts w:ascii="Times New Roman" w:cs="Times New Roman" w:hAnsi="Times New Roman"/>
                <w:sz w:val="24"/>
                <w:szCs w:val="24"/>
              </w:rPr>
            </w:pPr>
            <w:r>
              <w:rPr>
                <w:rFonts w:ascii="Times New Roman" w:cs="Times New Roman" w:hAnsi="Times New Roman"/>
                <w:sz w:val="24"/>
                <w:szCs w:val="24"/>
              </w:rPr>
              <w:t>Ключевые критерии</w:t>
            </w:r>
          </w:p>
        </w:tc>
        <w:tc>
          <w:tcPr>
            <w:cnfStyle w:val="000000100000"/>
            <w:tcW w:w="2371" w:type="dxa"/>
          </w:tcPr>
          <w:p w14:paraId="000002EE">
            <w:pPr>
              <w:jc w:val="both"/>
              <w:rPr>
                <w:rFonts w:ascii="Times New Roman" w:cs="Times New Roman" w:hAnsi="Times New Roman"/>
                <w:sz w:val="24"/>
                <w:szCs w:val="24"/>
              </w:rPr>
            </w:pPr>
            <w:r>
              <w:rPr>
                <w:rFonts w:ascii="Times New Roman" w:cs="Times New Roman" w:hAnsi="Times New Roman"/>
                <w:sz w:val="24"/>
                <w:szCs w:val="24"/>
              </w:rPr>
              <w:t>Качество, стабильность, отсрочка</w:t>
            </w:r>
          </w:p>
        </w:tc>
        <w:tc>
          <w:tcPr>
            <w:cnfStyle w:val="000000100000"/>
            <w:tcW w:w="2372" w:type="dxa"/>
          </w:tcPr>
          <w:p w14:paraId="000002EF">
            <w:pPr>
              <w:jc w:val="both"/>
              <w:rPr>
                <w:rFonts w:ascii="Times New Roman" w:cs="Times New Roman" w:hAnsi="Times New Roman"/>
                <w:sz w:val="24"/>
                <w:szCs w:val="24"/>
              </w:rPr>
            </w:pPr>
            <w:r>
              <w:rPr>
                <w:rFonts w:ascii="Times New Roman" w:cs="Times New Roman" w:hAnsi="Times New Roman"/>
                <w:sz w:val="24"/>
                <w:szCs w:val="24"/>
              </w:rPr>
              <w:t>Эстетика, долговечность, экология</w:t>
            </w:r>
          </w:p>
        </w:tc>
        <w:tc>
          <w:tcPr>
            <w:cnfStyle w:val="000000100000"/>
            <w:tcW w:w="2309" w:type="dxa"/>
          </w:tcPr>
          <w:p w14:paraId="000002F0">
            <w:pPr>
              <w:jc w:val="both"/>
              <w:rPr>
                <w:rFonts w:ascii="Times New Roman" w:cs="Times New Roman" w:hAnsi="Times New Roman"/>
                <w:sz w:val="24"/>
                <w:szCs w:val="24"/>
              </w:rPr>
            </w:pPr>
            <w:r>
              <w:rPr>
                <w:rFonts w:ascii="Times New Roman" w:cs="Times New Roman" w:hAnsi="Times New Roman"/>
                <w:sz w:val="24"/>
                <w:szCs w:val="24"/>
              </w:rPr>
              <w:t>Цена, упаковка, логистика</w:t>
            </w:r>
          </w:p>
        </w:tc>
      </w:tr>
      <w:tr>
        <w:trPr/>
        <w:tc>
          <w:tcPr>
            <w:cnfStyle w:val="001000010000"/>
            <w:tcW w:w="2371" w:type="dxa"/>
          </w:tcPr>
          <w:p w14:paraId="000002F1">
            <w:pPr>
              <w:jc w:val="both"/>
              <w:rPr>
                <w:rFonts w:ascii="Times New Roman" w:cs="Times New Roman" w:hAnsi="Times New Roman"/>
                <w:sz w:val="24"/>
                <w:szCs w:val="24"/>
              </w:rPr>
            </w:pPr>
            <w:r>
              <w:rPr>
                <w:rFonts w:ascii="Times New Roman" w:cs="Times New Roman" w:hAnsi="Times New Roman"/>
                <w:sz w:val="24"/>
                <w:szCs w:val="24"/>
              </w:rPr>
              <w:t>Ценовая чувствительность</w:t>
            </w:r>
          </w:p>
        </w:tc>
        <w:tc>
          <w:tcPr>
            <w:cnfStyle w:val="000000010000"/>
            <w:tcW w:w="2371" w:type="dxa"/>
          </w:tcPr>
          <w:p w14:paraId="000002F2">
            <w:pPr>
              <w:jc w:val="both"/>
              <w:rPr>
                <w:rFonts w:ascii="Times New Roman" w:cs="Times New Roman" w:hAnsi="Times New Roman"/>
                <w:sz w:val="24"/>
                <w:szCs w:val="24"/>
              </w:rPr>
            </w:pPr>
            <w:r>
              <w:rPr>
                <w:rFonts w:ascii="Times New Roman" w:cs="Times New Roman" w:hAnsi="Times New Roman"/>
                <w:sz w:val="24"/>
                <w:szCs w:val="24"/>
              </w:rPr>
              <w:t>Средняя</w:t>
            </w:r>
          </w:p>
        </w:tc>
        <w:tc>
          <w:tcPr>
            <w:cnfStyle w:val="000000010000"/>
            <w:tcW w:w="2372" w:type="dxa"/>
          </w:tcPr>
          <w:p w14:paraId="000002F3">
            <w:pPr>
              <w:jc w:val="both"/>
              <w:rPr>
                <w:rFonts w:ascii="Times New Roman" w:cs="Times New Roman" w:hAnsi="Times New Roman"/>
                <w:sz w:val="24"/>
                <w:szCs w:val="24"/>
              </w:rPr>
            </w:pPr>
            <w:r>
              <w:rPr>
                <w:rFonts w:ascii="Times New Roman" w:cs="Times New Roman" w:hAnsi="Times New Roman"/>
                <w:sz w:val="24"/>
                <w:szCs w:val="24"/>
              </w:rPr>
              <w:t>Ниже средней</w:t>
            </w:r>
          </w:p>
        </w:tc>
        <w:tc>
          <w:tcPr>
            <w:cnfStyle w:val="000000010000"/>
            <w:tcW w:w="2309" w:type="dxa"/>
          </w:tcPr>
          <w:p w14:paraId="000002F4">
            <w:pPr>
              <w:jc w:val="both"/>
              <w:rPr>
                <w:rFonts w:ascii="Times New Roman" w:cs="Times New Roman" w:hAnsi="Times New Roman"/>
                <w:sz w:val="24"/>
                <w:szCs w:val="24"/>
              </w:rPr>
            </w:pPr>
            <w:r>
              <w:rPr>
                <w:rFonts w:ascii="Times New Roman" w:cs="Times New Roman" w:hAnsi="Times New Roman"/>
                <w:sz w:val="24"/>
                <w:szCs w:val="24"/>
              </w:rPr>
              <w:t>Высокая</w:t>
            </w:r>
          </w:p>
        </w:tc>
      </w:tr>
      <w:tr>
        <w:trPr/>
        <w:tc>
          <w:tcPr>
            <w:cnfStyle w:val="001000100000"/>
            <w:tcW w:w="2371" w:type="dxa"/>
          </w:tcPr>
          <w:p w14:paraId="000002F5">
            <w:pPr>
              <w:jc w:val="both"/>
              <w:rPr>
                <w:rFonts w:ascii="Times New Roman" w:cs="Times New Roman" w:hAnsi="Times New Roman"/>
                <w:sz w:val="24"/>
                <w:szCs w:val="24"/>
              </w:rPr>
            </w:pPr>
            <w:r>
              <w:rPr>
                <w:rFonts w:ascii="Times New Roman" w:cs="Times New Roman" w:hAnsi="Times New Roman"/>
                <w:sz w:val="24"/>
                <w:szCs w:val="24"/>
              </w:rPr>
              <w:t>Лояльность к бренду</w:t>
            </w:r>
          </w:p>
        </w:tc>
        <w:tc>
          <w:tcPr>
            <w:cnfStyle w:val="000000100000"/>
            <w:tcW w:w="2371" w:type="dxa"/>
          </w:tcPr>
          <w:p w14:paraId="000002F6">
            <w:pPr>
              <w:jc w:val="both"/>
              <w:rPr>
                <w:rFonts w:ascii="Times New Roman" w:cs="Times New Roman" w:hAnsi="Times New Roman"/>
                <w:sz w:val="24"/>
                <w:szCs w:val="24"/>
              </w:rPr>
            </w:pPr>
            <w:r>
              <w:rPr>
                <w:rFonts w:ascii="Times New Roman" w:cs="Times New Roman" w:hAnsi="Times New Roman"/>
                <w:sz w:val="24"/>
                <w:szCs w:val="24"/>
              </w:rPr>
              <w:t>Низкая (важны качество и сроки)</w:t>
            </w:r>
          </w:p>
        </w:tc>
        <w:tc>
          <w:tcPr>
            <w:cnfStyle w:val="000000100000"/>
            <w:tcW w:w="2372" w:type="dxa"/>
          </w:tcPr>
          <w:p w14:paraId="000002F7">
            <w:pPr>
              <w:jc w:val="both"/>
              <w:rPr>
                <w:rFonts w:ascii="Times New Roman" w:cs="Times New Roman" w:hAnsi="Times New Roman"/>
                <w:sz w:val="24"/>
                <w:szCs w:val="24"/>
              </w:rPr>
            </w:pPr>
            <w:r>
              <w:rPr>
                <w:rFonts w:ascii="Times New Roman" w:cs="Times New Roman" w:hAnsi="Times New Roman"/>
                <w:sz w:val="24"/>
                <w:szCs w:val="24"/>
              </w:rPr>
              <w:t>Средняя (запоминают производителя)</w:t>
            </w:r>
          </w:p>
        </w:tc>
        <w:tc>
          <w:tcPr>
            <w:cnfStyle w:val="000000100000"/>
            <w:tcW w:w="2309" w:type="dxa"/>
          </w:tcPr>
          <w:p w14:paraId="000002F8">
            <w:pPr>
              <w:jc w:val="both"/>
              <w:rPr>
                <w:rFonts w:ascii="Times New Roman" w:cs="Times New Roman" w:hAnsi="Times New Roman"/>
                <w:sz w:val="24"/>
                <w:szCs w:val="24"/>
              </w:rPr>
            </w:pPr>
            <w:r>
              <w:rPr>
                <w:rFonts w:ascii="Times New Roman" w:cs="Times New Roman" w:hAnsi="Times New Roman"/>
                <w:sz w:val="24"/>
                <w:szCs w:val="24"/>
              </w:rPr>
              <w:t>Низкая (главное – цена)</w:t>
            </w:r>
          </w:p>
        </w:tc>
      </w:tr>
      <w:tr>
        <w:trPr/>
        <w:tc>
          <w:tcPr>
            <w:cnfStyle w:val="001000010000"/>
            <w:tcW w:w="2371" w:type="dxa"/>
          </w:tcPr>
          <w:p w14:paraId="000002F9">
            <w:pPr>
              <w:jc w:val="both"/>
              <w:rPr>
                <w:rFonts w:ascii="Times New Roman" w:cs="Times New Roman" w:hAnsi="Times New Roman"/>
                <w:sz w:val="24"/>
                <w:szCs w:val="24"/>
              </w:rPr>
            </w:pPr>
            <w:r>
              <w:rPr>
                <w:rFonts w:ascii="Times New Roman" w:cs="Times New Roman" w:hAnsi="Times New Roman"/>
                <w:sz w:val="24"/>
                <w:szCs w:val="24"/>
              </w:rPr>
              <w:t>Каналы информирования</w:t>
            </w:r>
          </w:p>
        </w:tc>
        <w:tc>
          <w:tcPr>
            <w:cnfStyle w:val="000000010000"/>
            <w:tcW w:w="2371" w:type="dxa"/>
          </w:tcPr>
          <w:p w14:paraId="000002FA">
            <w:pPr>
              <w:jc w:val="both"/>
              <w:rPr>
                <w:rFonts w:ascii="Times New Roman" w:cs="Times New Roman" w:hAnsi="Times New Roman"/>
                <w:sz w:val="24"/>
                <w:szCs w:val="24"/>
              </w:rPr>
            </w:pPr>
            <w:r>
              <w:rPr>
                <w:rFonts w:ascii="Times New Roman" w:cs="Times New Roman" w:hAnsi="Times New Roman"/>
                <w:sz w:val="24"/>
                <w:szCs w:val="24"/>
              </w:rPr>
              <w:t>Тендеры, выставки, консультации</w:t>
            </w:r>
          </w:p>
        </w:tc>
        <w:tc>
          <w:tcPr>
            <w:cnfStyle w:val="000000010000"/>
            <w:tcW w:w="2372" w:type="dxa"/>
          </w:tcPr>
          <w:p w14:paraId="000002FB">
            <w:pPr>
              <w:jc w:val="both"/>
              <w:rPr>
                <w:rFonts w:ascii="Times New Roman" w:cs="Times New Roman" w:hAnsi="Times New Roman"/>
                <w:sz w:val="24"/>
                <w:szCs w:val="24"/>
              </w:rPr>
            </w:pPr>
            <w:r>
              <w:rPr>
                <w:rFonts w:ascii="Times New Roman" w:cs="Times New Roman" w:hAnsi="Times New Roman"/>
                <w:sz w:val="24"/>
                <w:szCs w:val="24"/>
              </w:rPr>
              <w:t>Интернет, соцсети, сарафанное радио</w:t>
            </w:r>
          </w:p>
        </w:tc>
        <w:tc>
          <w:tcPr>
            <w:cnfStyle w:val="000000010000"/>
            <w:tcW w:w="2309" w:type="dxa"/>
          </w:tcPr>
          <w:p w14:paraId="000002FC">
            <w:pPr>
              <w:jc w:val="both"/>
              <w:rPr>
                <w:rFonts w:ascii="Times New Roman" w:cs="Times New Roman" w:hAnsi="Times New Roman"/>
                <w:sz w:val="24"/>
                <w:szCs w:val="24"/>
              </w:rPr>
            </w:pPr>
            <w:r>
              <w:rPr>
                <w:rFonts w:ascii="Times New Roman" w:cs="Times New Roman" w:hAnsi="Times New Roman"/>
                <w:sz w:val="24"/>
                <w:szCs w:val="24"/>
              </w:rPr>
              <w:t>Прайс-листы, каталоги</w:t>
            </w:r>
          </w:p>
        </w:tc>
      </w:tr>
    </w:tbl>
    <w:p w14:paraId="000002FD">
      <w:pPr>
        <w:spacing w:beforeAutospacing="0" w:after="0" w:afterAutospacing="0" w:line="360" w:lineRule="auto"/>
        <w:ind w:firstLine="709"/>
        <w:jc w:val="both"/>
        <w:rPr>
          <w:rFonts w:ascii="Times New Roman" w:cs="Times New Roman" w:hAnsi="Times New Roman"/>
          <w:i/>
          <w:iCs/>
          <w:sz w:val="28"/>
          <w:szCs w:val="28"/>
        </w:rPr>
      </w:pPr>
    </w:p>
    <w:p w14:paraId="000002F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Сегменты потребителей существенно различаются по объёмам заказов, критериям выбора и каналам информирования. Это требует дифференцированного подхода к маркетингу: для профессиональных застройщиков – прямые продажи и участие в тендерах, для частных – интернет-продвижение и бесплатные образцы, для гипермаркетов – отдельное коммерческое предложение с гарантией стабильных поставок.</w:t>
      </w:r>
    </w:p>
    <w:p w14:paraId="000002F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В ходе анализа актуальных данных о состоянии строительной отрасли Пензенской области в 2025 году были выявлены следующие особенности, </w:t>
      </w:r>
      <w:r>
        <w:rPr>
          <w:rFonts w:ascii="Times New Roman" w:cs="Times New Roman" w:hAnsi="Times New Roman"/>
          <w:sz w:val="28"/>
          <w:szCs w:val="28"/>
        </w:rPr>
        <w:t>определяющие потребительские предпочтения на рынке гиперпрессованного кирпича.</w:t>
      </w:r>
    </w:p>
    <w:p w14:paraId="0000030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 данным Пензастата, за январь-сентябрь 2025 года в регионе было введено 555,1 тыс. кв. м общей площади жилых помещений, что составляет лишь 79,6% от уровня аналогичного периода 2024 года.  При этом объём ввода жилья в сельской местности за январь-июль 2025 года сократился до 59,7 тыс. кв. м, что составляет только 60,9% по сравнению с аналогичным периодом предыдущего года. Парадоксально, но на фоне общего спада строительной активности (общий темп ввода жилья в Пензенской области за январь-октябрь 2025 года составил лишь 72,4% от уровня 2024 года) доля индивидуального жилищного строительства (ИЖС) в регионе остаётся высокой — около 73,7% от всего вводимого жилья за январь-май 2025 года . Это означает, что основным потребителем стеновых материалов в регионе остаются </w:t>
      </w:r>
      <w:r>
        <w:rPr>
          <w:rFonts w:ascii="Times New Roman" w:cs="Times New Roman" w:hAnsi="Times New Roman"/>
          <w:bCs/>
          <w:sz w:val="28"/>
          <w:szCs w:val="28"/>
        </w:rPr>
        <w:t>частные застройщики</w:t>
      </w:r>
      <w:r>
        <w:rPr>
          <w:rFonts w:ascii="Times New Roman" w:cs="Times New Roman" w:hAnsi="Times New Roman"/>
          <w:sz w:val="28"/>
          <w:szCs w:val="28"/>
        </w:rPr>
        <w:t>, строящие индивидуальные дома [59].</w:t>
      </w:r>
    </w:p>
    <w:p w14:paraId="0000030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Таким образом, предпочтения целевой аудитории в Пензенской области сегодня диктуются не столько модными дизайнерскими трендами, сколько </w:t>
      </w:r>
      <w:r>
        <w:rPr>
          <w:rFonts w:ascii="Times New Roman" w:cs="Times New Roman" w:hAnsi="Times New Roman"/>
          <w:bCs/>
          <w:sz w:val="28"/>
          <w:szCs w:val="28"/>
        </w:rPr>
        <w:t>экономической ситуацией и приоритетом долговечности</w:t>
      </w:r>
      <w:r>
        <w:rPr>
          <w:rFonts w:ascii="Times New Roman" w:cs="Times New Roman" w:hAnsi="Times New Roman"/>
          <w:sz w:val="28"/>
          <w:szCs w:val="28"/>
        </w:rPr>
        <w:t>. Спрос смещается в сторону материалов, позволяющих минимизировать последующие эксплуатационные расходы.</w:t>
      </w:r>
    </w:p>
    <w:p w14:paraId="0000030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Приоритетными становятся следующие характеристики.</w:t>
      </w:r>
    </w:p>
    <w:p w14:paraId="0000030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По прочностным свойствам:</w:t>
      </w:r>
      <w:r>
        <w:rPr>
          <w:rFonts w:ascii="Times New Roman" w:cs="Times New Roman" w:hAnsi="Times New Roman"/>
          <w:sz w:val="28"/>
          <w:szCs w:val="28"/>
        </w:rPr>
        <w:t> застройщики отдают предпочтение гиперпрессованному кирпичу марок </w:t>
      </w:r>
      <w:r>
        <w:rPr>
          <w:rFonts w:ascii="Times New Roman" w:cs="Times New Roman" w:hAnsi="Times New Roman"/>
          <w:bCs/>
          <w:sz w:val="28"/>
          <w:szCs w:val="28"/>
        </w:rPr>
        <w:t>М200–М250</w:t>
      </w:r>
      <w:r>
        <w:rPr>
          <w:rFonts w:ascii="Times New Roman" w:cs="Times New Roman" w:hAnsi="Times New Roman"/>
          <w:sz w:val="28"/>
          <w:szCs w:val="28"/>
        </w:rPr>
        <w:t>, что связано с требованиями к несущей способности стен в условиях снежных и ветровых нагрузок, характерных для Пензенской области. Кирпич более низких марок (М150) теряет популярность, так как не обеспечивает достаточного запаса прочности.</w:t>
      </w:r>
    </w:p>
    <w:p w14:paraId="0000030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По морозостойкости:</w:t>
      </w:r>
      <w:r>
        <w:rPr>
          <w:rFonts w:ascii="Times New Roman" w:cs="Times New Roman" w:hAnsi="Times New Roman"/>
          <w:sz w:val="28"/>
          <w:szCs w:val="28"/>
        </w:rPr>
        <w:t> обязательным требованием является марка </w:t>
      </w:r>
      <w:r>
        <w:rPr>
          <w:rFonts w:ascii="Times New Roman" w:cs="Times New Roman" w:hAnsi="Times New Roman"/>
          <w:bCs/>
          <w:sz w:val="28"/>
          <w:szCs w:val="28"/>
        </w:rPr>
        <w:t>не ниже F75</w:t>
      </w:r>
      <w:r>
        <w:rPr>
          <w:rFonts w:ascii="Times New Roman" w:cs="Times New Roman" w:hAnsi="Times New Roman"/>
          <w:sz w:val="28"/>
          <w:szCs w:val="28"/>
        </w:rPr>
        <w:t xml:space="preserve">. Это обусловлено продолжительным зимним периодом в регионе и необходимостью выдерживать многократные циклы замораживания и оттаивания без потери эксплуатационных свойств. Застройщики готовы </w:t>
      </w:r>
      <w:r>
        <w:rPr>
          <w:rFonts w:ascii="Times New Roman" w:cs="Times New Roman" w:hAnsi="Times New Roman"/>
          <w:sz w:val="28"/>
          <w:szCs w:val="28"/>
        </w:rPr>
        <w:t>доплачивать за гарантированную морозостойкость, чтобы избежать разрушения фасада в первые 5-7 лет эксплуатации.</w:t>
      </w:r>
    </w:p>
    <w:p w14:paraId="0000030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По геометрии:</w:t>
      </w:r>
      <w:r>
        <w:rPr>
          <w:rFonts w:ascii="Times New Roman" w:cs="Times New Roman" w:hAnsi="Times New Roman"/>
          <w:sz w:val="28"/>
          <w:szCs w:val="28"/>
        </w:rPr>
        <w:t> из-за роста стоимости кладочных работ (дефицит квалифицированных каменщиков в регионе) основным требованием становится </w:t>
      </w:r>
      <w:r>
        <w:rPr>
          <w:rFonts w:ascii="Times New Roman" w:cs="Times New Roman" w:hAnsi="Times New Roman"/>
          <w:bCs/>
          <w:sz w:val="28"/>
          <w:szCs w:val="28"/>
        </w:rPr>
        <w:t>стабильная геометрия кирпича</w:t>
      </w:r>
      <w:r>
        <w:rPr>
          <w:rFonts w:ascii="Times New Roman" w:cs="Times New Roman" w:hAnsi="Times New Roman"/>
          <w:sz w:val="28"/>
          <w:szCs w:val="28"/>
        </w:rPr>
        <w:t> с минимальными допусками (±1 мм по длине и ±0,7 мм по ширине). Это позволяет сократить расход кладочного раствора (экономия до 15%) и ускорить процесс строительства. Застройщики отказываются от поставщиков с нестабильными размерами, даже если их цена на 10-15% ниже.</w:t>
      </w:r>
    </w:p>
    <w:p w14:paraId="0000030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По цветовым решениям:</w:t>
      </w:r>
      <w:r>
        <w:rPr>
          <w:rFonts w:ascii="Times New Roman" w:cs="Times New Roman" w:hAnsi="Times New Roman"/>
          <w:sz w:val="28"/>
          <w:szCs w:val="28"/>
        </w:rPr>
        <w:t> вопреки общероссийскому тренду на яркие цвета, в Пензенской области в 2025 году наблюдается рост спроса на </w:t>
      </w:r>
      <w:r>
        <w:rPr>
          <w:rFonts w:ascii="Times New Roman" w:cs="Times New Roman" w:hAnsi="Times New Roman"/>
          <w:bCs/>
          <w:sz w:val="28"/>
          <w:szCs w:val="28"/>
        </w:rPr>
        <w:t>«холодные» оттенки</w:t>
      </w:r>
      <w:r>
        <w:rPr>
          <w:rFonts w:ascii="Times New Roman" w:cs="Times New Roman" w:hAnsi="Times New Roman"/>
          <w:sz w:val="28"/>
          <w:szCs w:val="28"/>
        </w:rPr>
        <w:t> (графит, антрацит, мокрый асфальт) и классические </w:t>
      </w:r>
      <w:r>
        <w:rPr>
          <w:rFonts w:ascii="Times New Roman" w:cs="Times New Roman" w:hAnsi="Times New Roman"/>
          <w:bCs/>
          <w:sz w:val="28"/>
          <w:szCs w:val="28"/>
        </w:rPr>
        <w:t>бежево-песочные тона</w:t>
      </w:r>
      <w:r>
        <w:rPr>
          <w:rFonts w:ascii="Times New Roman" w:cs="Times New Roman" w:hAnsi="Times New Roman"/>
          <w:sz w:val="28"/>
          <w:szCs w:val="28"/>
        </w:rPr>
        <w:t>. Терракотовый кирпич, традиционно популярный в центральных регионах, здесь уступает позиции, уступая более универсальным и немарким решениям, что связано с обилием пыли и перепадами температур.</w:t>
      </w:r>
    </w:p>
    <w:p w14:paraId="0000030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Для каждого сегмента потребителей </w:t>
      </w:r>
      <w:r>
        <w:rPr>
          <w:rFonts w:ascii="Times New Roman" w:cs="Times New Roman" w:hAnsi="Times New Roman"/>
          <w:sz w:val="28"/>
          <w:szCs w:val="28"/>
        </w:rPr>
        <w:t xml:space="preserve">далее рассмотрим </w:t>
      </w:r>
      <w:r>
        <w:rPr>
          <w:rFonts w:ascii="Times New Roman" w:cs="Times New Roman" w:hAnsi="Times New Roman"/>
          <w:sz w:val="28"/>
          <w:szCs w:val="28"/>
        </w:rPr>
        <w:t>каналы продвижения</w:t>
      </w:r>
      <w:r>
        <w:rPr>
          <w:rFonts w:ascii="Times New Roman" w:cs="Times New Roman" w:hAnsi="Times New Roman"/>
          <w:sz w:val="28"/>
          <w:szCs w:val="28"/>
        </w:rPr>
        <w:t>.</w:t>
      </w:r>
    </w:p>
    <w:p w14:paraId="0000030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Профессиональные застройщики:</w:t>
      </w:r>
      <w:r>
        <w:rPr>
          <w:rFonts w:ascii="Times New Roman" w:cs="Times New Roman" w:hAnsi="Times New Roman"/>
          <w:sz w:val="28"/>
          <w:szCs w:val="28"/>
        </w:rPr>
        <w:t> прямые продажи (выезд коммерческого директора на переговоры), участие в тендерных площадках (например, «Сбербанк-АСТ», «РТС-тендер»), рекомендации архитекторов. Также важны региональные выставки: «Строительство и ремонт» в Пензе (обычно проходит в апреле и октябре).</w:t>
      </w:r>
    </w:p>
    <w:p w14:paraId="0000030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Индивидуальные застройщики:</w:t>
      </w:r>
      <w:r>
        <w:rPr>
          <w:rFonts w:ascii="Times New Roman" w:cs="Times New Roman" w:hAnsi="Times New Roman"/>
          <w:sz w:val="28"/>
          <w:szCs w:val="28"/>
        </w:rPr>
        <w:t> интернет-продвижение (сайт с каталогом цветов, онлайн-калькулятор стоимости, контекстная реклама в Яндекс.Директ с геотаргетингом на Пензу и область), социальные сети (Instagram и ВКонтакте, группы о строительстве), форум «Пензенский строитель», сарафанное радио. Бесплатные образцы (высылаются или выдаются в офисе).</w:t>
      </w:r>
    </w:p>
    <w:p w14:paraId="0000030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Архитекторы и дизайнеры:</w:t>
      </w:r>
      <w:r>
        <w:rPr>
          <w:rFonts w:ascii="Times New Roman" w:cs="Times New Roman" w:hAnsi="Times New Roman"/>
          <w:sz w:val="28"/>
          <w:szCs w:val="28"/>
        </w:rPr>
        <w:t> проведение вебинаров, рассылка технических брошюр, предоставление библиотеки образцов. В Пензе работают несколько архитектурных бюро, с которыми необходимо наладить сотрудничество.</w:t>
      </w:r>
    </w:p>
    <w:p w14:paraId="0000030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Гипермаркеты:</w:t>
      </w:r>
      <w:r>
        <w:rPr>
          <w:rFonts w:ascii="Times New Roman" w:cs="Times New Roman" w:hAnsi="Times New Roman"/>
          <w:sz w:val="28"/>
          <w:szCs w:val="28"/>
        </w:rPr>
        <w:t> коммерческое предложение с гарантией стабильных поставок, ценой на 10–15% ниже рыночной, упаковка в термоусадочную плёнку с маркировкой. В Пензе есть «Максидом», «Стройландия» – все они могут быть потенциальными партнёрами [51].</w:t>
      </w:r>
    </w:p>
    <w:p w14:paraId="0000030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Спрос на кирпич в Пензенской области подвержен сезонным колебаниям:</w:t>
      </w:r>
    </w:p>
    <w:p w14:paraId="0000030D">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1) минимальные продажи – декабрь–февраль (30–40% от среднемесячного уровня)</w:t>
      </w:r>
    </w:p>
    <w:p w14:paraId="0000030E">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максимальные продажи – апрель–сентябрь (150–180%);</w:t>
      </w:r>
    </w:p>
    <w:p w14:paraId="0000030F">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 xml:space="preserve">3) переходные периоды (март, октябрь) – 70–90% </w:t>
      </w:r>
      <w:r>
        <w:rPr>
          <w:rFonts w:ascii="Times New Roman" w:cs="Times New Roman" w:hAnsi="Times New Roman"/>
          <w:sz w:val="28"/>
          <w:szCs w:val="28"/>
        </w:rPr>
        <w:t xml:space="preserve"> [50]</w:t>
      </w:r>
      <w:r>
        <w:rPr>
          <w:rFonts w:ascii="Times New Roman" w:cs="Times New Roman" w:hAnsi="Times New Roman"/>
          <w:sz w:val="28"/>
          <w:szCs w:val="28"/>
        </w:rPr>
        <w:t>.</w:t>
      </w:r>
    </w:p>
    <w:p w14:paraId="0000031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 учётом климатических особенностей Пензенской области (умеренно-континентальный климат, устойчивый снежный покров зимой) строительный сезон длится с середины апреля по середину октября. Для предприятия это означает необходимость формирования складских запасов в зимний период (до 1–1,5 млн штук) или заключения долгосрочных контрактов с застройщиками.</w:t>
      </w:r>
    </w:p>
    <w:p w14:paraId="00000311">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360" w:lineRule="auto"/>
        <w:ind w:left="0" w:right="0" w:firstLine="706"/>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Для оценки чувствительности спроса к изменению цены была рассчитана ценовая эластичность спроса. В качестве исходных данных использованы: плановая цена реализации гиперпрессованного кирпича — 28 руб./шт., оценочный объём регионального спроса — 2–3 млн шт. в год, а также данные о структуре потребительских сегментов, представленные в таблице 2.8. Базовый объём спроса принят на уровне 2,5 млн шт., то есть как среднее значение указанного диапазона.</w:t>
      </w:r>
    </w:p>
    <w:p w14:paraId="00000312">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360" w:lineRule="auto"/>
        <w:ind w:left="0" w:right="0" w:firstLine="706"/>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Расчёт выполнен по формуле дуговой эластичности спроса:</w:t>
      </w:r>
    </w:p>
    <w:p w14:paraId="00000313">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360" w:lineRule="auto"/>
        <w:ind w:left="0" w:right="0" w:firstLine="706"/>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Еd = ((Q2 – Q1) / ((Q1 + Q2) / 2)) / ((P2 – P1) / ((P1 + P2) / 2)), </w:t>
      </w:r>
    </w:p>
    <w:p w14:paraId="00000314">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360" w:lineRule="auto"/>
        <w:ind w:left="0" w:right="0" w:firstLine="706"/>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где Еd — коэффициент ценовой эластичности спроса; Q1 и Q2 — объём спроса до и после изменения цены; P1 и P2 — цена до и после изменения.</w:t>
      </w:r>
    </w:p>
    <w:p w14:paraId="00000315">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360" w:lineRule="auto"/>
        <w:ind w:left="0" w:right="0" w:firstLine="706"/>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При умеренном повышении цены с 28 до 30 руб./шт. предполагается снижение спроса с 2,5 до 2,4 млн шт.: </w:t>
      </w:r>
      <w:r>
        <w:rPr>
          <w:rFonts w:ascii="Times New Roman" w:cs="Times New Roman" w:hAnsi="Times New Roman"/>
          <w:outline w:val="off"/>
          <w:shadow w:val="off"/>
          <w:emboss w:val="off"/>
          <w:imprint w:val="off"/>
          <w:color w:val="auto"/>
          <w:spacing w:val="0"/>
          <w:sz w:val="28"/>
          <w:szCs w:val="28"/>
        </w:rPr>
        <w:t>Еd = ((2,4 – 2,5) / 2,45) / ((30 – 28) / 29) = –0,0408 / 0,0690 = –0,59.</w:t>
      </w:r>
    </w:p>
    <w:p w14:paraId="00000316">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360" w:lineRule="auto"/>
        <w:ind w:left="0" w:right="0" w:firstLine="706"/>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При более заметном повышении цены с 28 до 32 руб./шт. предполагается снижение спроса с 2,5 до 2,25 млн шт.: </w:t>
      </w:r>
      <w:r>
        <w:rPr>
          <w:rFonts w:ascii="Times New Roman" w:cs="Times New Roman" w:hAnsi="Times New Roman"/>
          <w:outline w:val="off"/>
          <w:shadow w:val="off"/>
          <w:emboss w:val="off"/>
          <w:imprint w:val="off"/>
          <w:color w:val="auto"/>
          <w:spacing w:val="0"/>
          <w:sz w:val="28"/>
          <w:szCs w:val="28"/>
        </w:rPr>
        <w:t>Еd = ((2,25 – 2,5) / 2,375) / ((32 – 28) / 30) = –0,1053 / 0,1333 = –0,79.</w:t>
      </w:r>
    </w:p>
    <w:p w14:paraId="00000317">
      <w:pPr>
        <w:framePr w:w="0" w:h="0" w:vAnchor="margin" w:hAnchor="text" w:x="0" w:y="0"/>
        <w:pBdr>
          <w:top w:val="none" w:sz="4" w:space="0"/>
          <w:left w:val="none" w:sz="4" w:space="0"/>
          <w:bottom w:val="none" w:sz="4" w:space="0"/>
          <w:right w:val="none" w:sz="4" w:space="0"/>
          <w:between w:val="none" w:sz="4" w:space="0"/>
          <w:bar w:val="none" w:sz="4" w:space="0"/>
        </w:pBdr>
        <w:shd w:val="clear" w:fill="auto"/>
        <w:spacing w:before="0" w:beforeAutospacing="0" w:after="0" w:afterAutospacing="0" w:line="360" w:lineRule="auto"/>
        <w:ind w:left="0" w:right="0" w:firstLine="706"/>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Р</w:t>
      </w:r>
      <w:r>
        <w:rPr>
          <w:rFonts w:ascii="Times New Roman" w:cs="Times New Roman" w:hAnsi="Times New Roman"/>
          <w:outline w:val="off"/>
          <w:shadow w:val="off"/>
          <w:emboss w:val="off"/>
          <w:imprint w:val="off"/>
          <w:color w:val="auto"/>
          <w:spacing w:val="0"/>
          <w:sz w:val="28"/>
          <w:szCs w:val="28"/>
        </w:rPr>
        <w:t>асчёт показывает, что для сегмента облицовочного гиперпрессованного кирпича в Пензенской области ценовая эластичность спроса составляет примерно от –0,6 до –0,8. Это означает, что спрос является умеренно неэластичным: изменение цены влияет на объём продаж, однако не является единственным определяющим фактором выбора. Для потребителей также значимы прочность, морозостойкость, стабильность геометрии, цветовая гамма, условия доставки и надёжность поставок.</w:t>
      </w:r>
    </w:p>
    <w:p w14:paraId="0000031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профессиональных застройщиков эластичность выше (от –0,8 до –1,0), так как они чувствительны к общей смете. Однако, если качество и стабильность поставок подтверждены, они готовы платить премию 5–10%.</w:t>
      </w:r>
    </w:p>
    <w:p w14:paraId="0000031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 учётом проведённого анализа, основным целевым сегментом в Пензенской области выбраны:</w:t>
      </w:r>
    </w:p>
    <w:p w14:paraId="0000031A">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bCs/>
          <w:sz w:val="28"/>
          <w:szCs w:val="28"/>
        </w:rPr>
        <w:t>1) профессиональные застройщики</w:t>
      </w:r>
      <w:r>
        <w:rPr>
          <w:rFonts w:ascii="Times New Roman" w:cs="Times New Roman" w:hAnsi="Times New Roman"/>
          <w:sz w:val="28"/>
          <w:szCs w:val="28"/>
        </w:rPr>
        <w:t>, строящие коттеджные посёлки и таунхаусы (объём заказов от 20 тыс. шт. в год);</w:t>
      </w:r>
    </w:p>
    <w:p w14:paraId="0000031B">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bCs/>
          <w:sz w:val="28"/>
          <w:szCs w:val="28"/>
        </w:rPr>
        <w:t>2) индивидуальные застройщики</w:t>
      </w:r>
      <w:r>
        <w:rPr>
          <w:rFonts w:ascii="Times New Roman" w:cs="Times New Roman" w:hAnsi="Times New Roman"/>
          <w:sz w:val="28"/>
          <w:szCs w:val="28"/>
        </w:rPr>
        <w:t> с бюджетом строительства от 5 млн руб., ценящие эстетику и долговечность;</w:t>
      </w:r>
    </w:p>
    <w:p w14:paraId="0000031C">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bCs/>
          <w:sz w:val="28"/>
          <w:szCs w:val="28"/>
        </w:rPr>
        <w:t>3) архитектурные бюро</w:t>
      </w:r>
      <w:r>
        <w:rPr>
          <w:rFonts w:ascii="Times New Roman" w:cs="Times New Roman" w:hAnsi="Times New Roman"/>
          <w:sz w:val="28"/>
          <w:szCs w:val="28"/>
        </w:rPr>
        <w:t> для рекомендаций материала.</w:t>
      </w:r>
    </w:p>
    <w:p w14:paraId="0000031D">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Сводная характеристика целевых сегментов потребителей гиперпрессованного кирпича представлена в таблице 2.9.</w:t>
      </w:r>
    </w:p>
    <w:p w14:paraId="0000031E">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2.9 – Портрет целевого потребителя в Пензенской области</w:t>
      </w:r>
    </w:p>
    <w:tbl>
      <w:tblPr>
        <w:tblStyle w:val="TableGrid"/>
        <w:tblW w:w="9356" w:type="dxa"/>
        <w:jc w:val="center"/>
        <w:tblLook w:val="04A0"/>
      </w:tblPr>
      <w:tblGrid>
        <w:gridCol w:w="2515"/>
        <w:gridCol w:w="3365"/>
        <w:gridCol w:w="3476"/>
      </w:tblGrid>
      <w:tr>
        <w:trPr>
          <w:jc w:val="center"/>
        </w:trPr>
        <w:tc>
          <w:tcPr>
            <w:cnfStyle w:val="101000000000"/>
            <w:tcW w:w="2515" w:type="dxa"/>
          </w:tcPr>
          <w:p w14:paraId="0000031F">
            <w:pPr>
              <w:jc w:val="both"/>
              <w:rPr>
                <w:rFonts w:ascii="Times New Roman" w:cs="Times New Roman" w:hAnsi="Times New Roman"/>
                <w:sz w:val="24"/>
                <w:szCs w:val="24"/>
              </w:rPr>
            </w:pPr>
            <w:r>
              <w:rPr>
                <w:rFonts w:ascii="Times New Roman" w:cs="Times New Roman" w:hAnsi="Times New Roman"/>
                <w:sz w:val="24"/>
                <w:szCs w:val="24"/>
              </w:rPr>
              <w:t>Характеристика</w:t>
            </w:r>
          </w:p>
        </w:tc>
        <w:tc>
          <w:tcPr>
            <w:cnfStyle w:val="100000000000"/>
            <w:tcW w:w="3365" w:type="dxa"/>
          </w:tcPr>
          <w:p w14:paraId="00000320">
            <w:pPr>
              <w:jc w:val="both"/>
              <w:rPr>
                <w:rFonts w:ascii="Times New Roman" w:cs="Times New Roman" w:hAnsi="Times New Roman"/>
                <w:sz w:val="24"/>
                <w:szCs w:val="24"/>
              </w:rPr>
            </w:pPr>
            <w:r>
              <w:rPr>
                <w:rFonts w:ascii="Times New Roman" w:cs="Times New Roman" w:hAnsi="Times New Roman"/>
                <w:sz w:val="24"/>
                <w:szCs w:val="24"/>
              </w:rPr>
              <w:t>Профессиональные застройщики</w:t>
            </w:r>
          </w:p>
        </w:tc>
        <w:tc>
          <w:tcPr>
            <w:cnfStyle w:val="100000000000"/>
            <w:tcW w:w="3476" w:type="dxa"/>
          </w:tcPr>
          <w:p w14:paraId="00000321">
            <w:pPr>
              <w:jc w:val="both"/>
              <w:rPr>
                <w:rFonts w:ascii="Times New Roman" w:cs="Times New Roman" w:hAnsi="Times New Roman"/>
                <w:sz w:val="24"/>
                <w:szCs w:val="24"/>
              </w:rPr>
            </w:pPr>
            <w:r>
              <w:rPr>
                <w:rFonts w:ascii="Times New Roman" w:cs="Times New Roman" w:hAnsi="Times New Roman"/>
                <w:sz w:val="24"/>
                <w:szCs w:val="24"/>
              </w:rPr>
              <w:t>Индивидуальные застройщики</w:t>
            </w:r>
          </w:p>
        </w:tc>
      </w:tr>
      <w:tr>
        <w:trPr>
          <w:jc w:val="center"/>
        </w:trPr>
        <w:tc>
          <w:tcPr>
            <w:cnfStyle w:val="001000100000"/>
            <w:tcW w:w="2515" w:type="dxa"/>
          </w:tcPr>
          <w:p w14:paraId="00000322">
            <w:pPr>
              <w:jc w:val="both"/>
              <w:rPr>
                <w:rFonts w:ascii="Times New Roman" w:cs="Times New Roman" w:hAnsi="Times New Roman"/>
                <w:sz w:val="24"/>
                <w:szCs w:val="24"/>
              </w:rPr>
            </w:pPr>
            <w:r>
              <w:rPr>
                <w:rFonts w:ascii="Times New Roman" w:cs="Times New Roman" w:hAnsi="Times New Roman"/>
                <w:sz w:val="24"/>
                <w:szCs w:val="24"/>
              </w:rPr>
              <w:t>Должность / тип</w:t>
            </w:r>
          </w:p>
        </w:tc>
        <w:tc>
          <w:tcPr>
            <w:cnfStyle w:val="000000100000"/>
            <w:tcW w:w="3365" w:type="dxa"/>
          </w:tcPr>
          <w:p w14:paraId="00000323">
            <w:pPr>
              <w:jc w:val="both"/>
              <w:rPr>
                <w:rFonts w:ascii="Times New Roman" w:cs="Times New Roman" w:hAnsi="Times New Roman"/>
                <w:sz w:val="24"/>
                <w:szCs w:val="24"/>
              </w:rPr>
            </w:pPr>
            <w:r>
              <w:rPr>
                <w:rFonts w:ascii="Times New Roman" w:cs="Times New Roman" w:hAnsi="Times New Roman"/>
                <w:sz w:val="24"/>
                <w:szCs w:val="24"/>
              </w:rPr>
              <w:t>Руководитель отдела снабжения, прораб</w:t>
            </w:r>
          </w:p>
        </w:tc>
        <w:tc>
          <w:tcPr>
            <w:cnfStyle w:val="000000100000"/>
            <w:tcW w:w="3476" w:type="dxa"/>
          </w:tcPr>
          <w:p w14:paraId="00000324">
            <w:pPr>
              <w:jc w:val="both"/>
              <w:rPr>
                <w:rFonts w:ascii="Times New Roman" w:cs="Times New Roman" w:hAnsi="Times New Roman"/>
                <w:sz w:val="24"/>
                <w:szCs w:val="24"/>
              </w:rPr>
            </w:pPr>
            <w:r>
              <w:rPr>
                <w:rFonts w:ascii="Times New Roman" w:cs="Times New Roman" w:hAnsi="Times New Roman"/>
                <w:sz w:val="24"/>
                <w:szCs w:val="24"/>
              </w:rPr>
              <w:t>Мужчина 35–55 лет, семья, дом</w:t>
            </w:r>
          </w:p>
        </w:tc>
      </w:tr>
      <w:tr>
        <w:trPr>
          <w:jc w:val="center"/>
        </w:trPr>
        <w:tc>
          <w:tcPr>
            <w:cnfStyle w:val="001000010000"/>
            <w:tcW w:w="2515" w:type="dxa"/>
          </w:tcPr>
          <w:p w14:paraId="00000325">
            <w:pPr>
              <w:jc w:val="both"/>
              <w:rPr>
                <w:rFonts w:ascii="Times New Roman" w:cs="Times New Roman" w:hAnsi="Times New Roman"/>
                <w:sz w:val="24"/>
                <w:szCs w:val="24"/>
              </w:rPr>
            </w:pPr>
            <w:r>
              <w:rPr>
                <w:rFonts w:ascii="Times New Roman" w:cs="Times New Roman" w:hAnsi="Times New Roman"/>
                <w:sz w:val="24"/>
                <w:szCs w:val="24"/>
              </w:rPr>
              <w:t>Ключевые требования</w:t>
            </w:r>
          </w:p>
        </w:tc>
        <w:tc>
          <w:tcPr>
            <w:cnfStyle w:val="000000010000"/>
            <w:tcW w:w="3365" w:type="dxa"/>
          </w:tcPr>
          <w:p w14:paraId="00000326">
            <w:pPr>
              <w:jc w:val="both"/>
              <w:rPr>
                <w:rFonts w:ascii="Times New Roman" w:cs="Times New Roman" w:hAnsi="Times New Roman"/>
                <w:sz w:val="24"/>
                <w:szCs w:val="24"/>
              </w:rPr>
            </w:pPr>
            <w:r>
              <w:rPr>
                <w:rFonts w:ascii="Times New Roman" w:cs="Times New Roman" w:hAnsi="Times New Roman"/>
                <w:sz w:val="24"/>
                <w:szCs w:val="24"/>
              </w:rPr>
              <w:t>Стабильность, ГОСТ, отсрочка платежа</w:t>
            </w:r>
          </w:p>
        </w:tc>
        <w:tc>
          <w:tcPr>
            <w:cnfStyle w:val="000000010000"/>
            <w:tcW w:w="3476" w:type="dxa"/>
          </w:tcPr>
          <w:p w14:paraId="00000327">
            <w:pPr>
              <w:jc w:val="both"/>
              <w:rPr>
                <w:rFonts w:ascii="Times New Roman" w:cs="Times New Roman" w:hAnsi="Times New Roman"/>
                <w:sz w:val="24"/>
                <w:szCs w:val="24"/>
              </w:rPr>
            </w:pPr>
            <w:r>
              <w:rPr>
                <w:rFonts w:ascii="Times New Roman" w:cs="Times New Roman" w:hAnsi="Times New Roman"/>
                <w:sz w:val="24"/>
                <w:szCs w:val="24"/>
              </w:rPr>
              <w:t>Цвет, фактура, экологичность</w:t>
            </w:r>
          </w:p>
        </w:tc>
      </w:tr>
      <w:tr>
        <w:trPr>
          <w:jc w:val="center"/>
        </w:trPr>
        <w:tc>
          <w:tcPr>
            <w:cnfStyle w:val="001000100000"/>
            <w:tcW w:w="2515" w:type="dxa"/>
          </w:tcPr>
          <w:p w14:paraId="00000328">
            <w:pPr>
              <w:jc w:val="both"/>
              <w:rPr>
                <w:rFonts w:ascii="Times New Roman" w:cs="Times New Roman" w:hAnsi="Times New Roman"/>
                <w:sz w:val="24"/>
                <w:szCs w:val="24"/>
              </w:rPr>
            </w:pPr>
            <w:r>
              <w:rPr>
                <w:rFonts w:ascii="Times New Roman" w:cs="Times New Roman" w:hAnsi="Times New Roman"/>
                <w:sz w:val="24"/>
                <w:szCs w:val="24"/>
              </w:rPr>
              <w:t>Предпочтения по цвету</w:t>
            </w:r>
          </w:p>
        </w:tc>
        <w:tc>
          <w:tcPr>
            <w:cnfStyle w:val="000000100000"/>
            <w:tcW w:w="3365" w:type="dxa"/>
          </w:tcPr>
          <w:p w14:paraId="00000329">
            <w:pPr>
              <w:jc w:val="both"/>
              <w:rPr>
                <w:rFonts w:ascii="Times New Roman" w:cs="Times New Roman" w:hAnsi="Times New Roman"/>
                <w:sz w:val="24"/>
                <w:szCs w:val="24"/>
              </w:rPr>
            </w:pPr>
            <w:r>
              <w:rPr>
                <w:rFonts w:ascii="Times New Roman" w:cs="Times New Roman" w:hAnsi="Times New Roman"/>
                <w:sz w:val="24"/>
                <w:szCs w:val="24"/>
              </w:rPr>
              <w:t>Терракотовый, серый</w:t>
            </w:r>
          </w:p>
        </w:tc>
        <w:tc>
          <w:tcPr>
            <w:cnfStyle w:val="000000100000"/>
            <w:tcW w:w="3476" w:type="dxa"/>
          </w:tcPr>
          <w:p w14:paraId="0000032A">
            <w:pPr>
              <w:jc w:val="both"/>
              <w:rPr>
                <w:rFonts w:ascii="Times New Roman" w:cs="Times New Roman" w:hAnsi="Times New Roman"/>
                <w:sz w:val="24"/>
                <w:szCs w:val="24"/>
              </w:rPr>
            </w:pPr>
            <w:r>
              <w:rPr>
                <w:rFonts w:ascii="Times New Roman" w:cs="Times New Roman" w:hAnsi="Times New Roman"/>
                <w:sz w:val="24"/>
                <w:szCs w:val="24"/>
              </w:rPr>
              <w:t>Терракотовый, графит, песочный</w:t>
            </w:r>
          </w:p>
        </w:tc>
      </w:tr>
      <w:tr>
        <w:trPr>
          <w:jc w:val="center"/>
        </w:trPr>
        <w:tc>
          <w:tcPr>
            <w:cnfStyle w:val="001000010000"/>
            <w:tcW w:w="2515" w:type="dxa"/>
          </w:tcPr>
          <w:p w14:paraId="0000032B">
            <w:pPr>
              <w:jc w:val="both"/>
              <w:rPr>
                <w:rFonts w:ascii="Times New Roman" w:cs="Times New Roman" w:hAnsi="Times New Roman"/>
                <w:sz w:val="24"/>
                <w:szCs w:val="24"/>
              </w:rPr>
            </w:pPr>
            <w:r>
              <w:rPr>
                <w:rFonts w:ascii="Times New Roman" w:cs="Times New Roman" w:hAnsi="Times New Roman"/>
                <w:sz w:val="24"/>
                <w:szCs w:val="24"/>
              </w:rPr>
              <w:t>Предпочтения по фактуре</w:t>
            </w:r>
          </w:p>
        </w:tc>
        <w:tc>
          <w:tcPr>
            <w:cnfStyle w:val="000000010000"/>
            <w:tcW w:w="3365" w:type="dxa"/>
          </w:tcPr>
          <w:p w14:paraId="0000032C">
            <w:pPr>
              <w:jc w:val="both"/>
              <w:rPr>
                <w:rFonts w:ascii="Times New Roman" w:cs="Times New Roman" w:hAnsi="Times New Roman"/>
                <w:sz w:val="24"/>
                <w:szCs w:val="24"/>
              </w:rPr>
            </w:pPr>
            <w:r>
              <w:rPr>
                <w:rFonts w:ascii="Times New Roman" w:cs="Times New Roman" w:hAnsi="Times New Roman"/>
                <w:sz w:val="24"/>
                <w:szCs w:val="24"/>
              </w:rPr>
              <w:t>«Скала», гладкая</w:t>
            </w:r>
          </w:p>
        </w:tc>
        <w:tc>
          <w:tcPr>
            <w:cnfStyle w:val="000000010000"/>
            <w:tcW w:w="3476" w:type="dxa"/>
          </w:tcPr>
          <w:p w14:paraId="0000032D">
            <w:pPr>
              <w:jc w:val="both"/>
              <w:rPr>
                <w:rFonts w:ascii="Times New Roman" w:cs="Times New Roman" w:hAnsi="Times New Roman"/>
                <w:sz w:val="24"/>
                <w:szCs w:val="24"/>
              </w:rPr>
            </w:pPr>
            <w:r>
              <w:rPr>
                <w:rFonts w:ascii="Times New Roman" w:cs="Times New Roman" w:hAnsi="Times New Roman"/>
                <w:sz w:val="24"/>
                <w:szCs w:val="24"/>
              </w:rPr>
              <w:t>«Скала»</w:t>
            </w:r>
          </w:p>
        </w:tc>
      </w:tr>
      <w:tr>
        <w:trPr>
          <w:jc w:val="center"/>
        </w:trPr>
        <w:tc>
          <w:tcPr>
            <w:cnfStyle w:val="001000100000"/>
            <w:tcW w:w="2515" w:type="dxa"/>
          </w:tcPr>
          <w:p w14:paraId="0000032E">
            <w:pPr>
              <w:jc w:val="both"/>
              <w:rPr>
                <w:rFonts w:ascii="Times New Roman" w:cs="Times New Roman" w:hAnsi="Times New Roman"/>
                <w:sz w:val="24"/>
                <w:szCs w:val="24"/>
              </w:rPr>
            </w:pPr>
            <w:r>
              <w:rPr>
                <w:rFonts w:ascii="Times New Roman" w:cs="Times New Roman" w:hAnsi="Times New Roman"/>
                <w:sz w:val="24"/>
                <w:szCs w:val="24"/>
              </w:rPr>
              <w:t>Каналы информирования</w:t>
            </w:r>
          </w:p>
        </w:tc>
        <w:tc>
          <w:tcPr>
            <w:cnfStyle w:val="000000100000"/>
            <w:tcW w:w="3365" w:type="dxa"/>
          </w:tcPr>
          <w:p w14:paraId="0000032F">
            <w:pPr>
              <w:jc w:val="both"/>
              <w:rPr>
                <w:rFonts w:ascii="Times New Roman" w:cs="Times New Roman" w:hAnsi="Times New Roman"/>
                <w:sz w:val="24"/>
                <w:szCs w:val="24"/>
              </w:rPr>
            </w:pPr>
            <w:r>
              <w:rPr>
                <w:rFonts w:ascii="Times New Roman" w:cs="Times New Roman" w:hAnsi="Times New Roman"/>
                <w:sz w:val="24"/>
                <w:szCs w:val="24"/>
              </w:rPr>
              <w:t>Тендеры, выставки, коллеги</w:t>
            </w:r>
          </w:p>
        </w:tc>
        <w:tc>
          <w:tcPr>
            <w:cnfStyle w:val="000000100000"/>
            <w:tcW w:w="3476" w:type="dxa"/>
          </w:tcPr>
          <w:p w14:paraId="00000330">
            <w:pPr>
              <w:jc w:val="both"/>
              <w:rPr>
                <w:rFonts w:ascii="Times New Roman" w:cs="Times New Roman" w:hAnsi="Times New Roman"/>
                <w:sz w:val="24"/>
                <w:szCs w:val="24"/>
              </w:rPr>
            </w:pPr>
            <w:r>
              <w:rPr>
                <w:rFonts w:ascii="Times New Roman" w:cs="Times New Roman" w:hAnsi="Times New Roman"/>
                <w:sz w:val="24"/>
                <w:szCs w:val="24"/>
              </w:rPr>
              <w:t>Интернет, соцсети, архитектор</w:t>
            </w:r>
          </w:p>
        </w:tc>
      </w:tr>
    </w:tbl>
    <w:p w14:paraId="00000331">
      <w:pPr>
        <w:spacing w:beforeAutospacing="0" w:after="0" w:afterAutospacing="0" w:line="360" w:lineRule="auto"/>
        <w:ind w:firstLine="709"/>
        <w:jc w:val="both"/>
        <w:rPr>
          <w:rFonts w:ascii="Times New Roman" w:cs="Times New Roman" w:hAnsi="Times New Roman"/>
          <w:i/>
          <w:iCs/>
          <w:sz w:val="28"/>
          <w:szCs w:val="28"/>
        </w:rPr>
      </w:pPr>
    </w:p>
    <w:p w14:paraId="0000033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Портрет целевого потребителя позволяет сфокусировать маркетинговые усилия на наиболее перспективных сегментах. Для профессиональных застройщиков необходимо делать упор на надёжность, качество и условия отсрочки. Для частных – на визуализацию (образцы, качественные фотографии, 3D-визуализация) и экологичность.</w:t>
      </w:r>
    </w:p>
    <w:p w14:paraId="0000033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Таким образом, потребительский рынок гиперпрессованного кирпича в Пензенской области имеет: 60–70% спроса формируют профессиональные застройщики, 20–25% – частные застройщики (ИЖС), 10–15% – гипермаркеты. Ключевые критерии выбора различаются по сегментам: для профессионалов — качество и стабильность поставок, для частников – ассортимент (цвет, фактура), для гипермаркетов – цена. Сезонность спроса требует формирования складских запасов в зимний период. Планируется использовать дифференцированную маркетинговую стратегию: прямые продажи, интернет-продвижение, работа с архитекторами и гипермаркетами.</w:t>
      </w:r>
      <w:bookmarkStart w:id="5" w:name="_Toc232406680"/>
    </w:p>
    <w:p w14:paraId="00000334">
      <w:pPr>
        <w:spacing w:beforeAutospacing="0" w:after="0" w:afterAutospacing="0" w:line="360" w:lineRule="auto"/>
        <w:ind w:firstLine="709"/>
        <w:jc w:val="both"/>
        <w:rPr>
          <w:rFonts w:ascii="Times New Roman" w:cs="Times New Roman" w:hAnsi="Times New Roman"/>
          <w:b/>
          <w:bCs/>
          <w:color w:val="auto"/>
          <w:sz w:val="28"/>
          <w:szCs w:val="28"/>
        </w:rPr>
      </w:pPr>
    </w:p>
    <w:p w14:paraId="00000335">
      <w:pPr>
        <w:spacing w:beforeAutospacing="0" w:after="0" w:afterAutospacing="0" w:line="360" w:lineRule="auto"/>
        <w:ind w:firstLine="709"/>
        <w:jc w:val="both"/>
        <w:rPr>
          <w:rFonts w:ascii="Times New Roman" w:cs="Times New Roman" w:hAnsi="Times New Roman"/>
          <w:b/>
          <w:bCs/>
          <w:color w:val="auto"/>
          <w:sz w:val="28"/>
          <w:szCs w:val="28"/>
        </w:rPr>
      </w:pPr>
    </w:p>
    <w:p w14:paraId="00000336">
      <w:pPr>
        <w:spacing w:beforeAutospacing="0" w:after="0" w:afterAutospacing="0" w:line="360" w:lineRule="auto"/>
        <w:ind w:firstLine="709"/>
        <w:jc w:val="both"/>
        <w:rPr>
          <w:rFonts w:ascii="Times New Roman" w:cs="Times New Roman" w:hAnsi="Times New Roman"/>
          <w:b/>
          <w:bCs/>
          <w:color w:val="auto"/>
          <w:sz w:val="28"/>
          <w:szCs w:val="28"/>
        </w:rPr>
      </w:pPr>
    </w:p>
    <w:p w14:paraId="00000337">
      <w:pPr>
        <w:spacing w:beforeAutospacing="0" w:after="0" w:afterAutospacing="0" w:line="360" w:lineRule="auto"/>
        <w:ind w:firstLine="709"/>
        <w:jc w:val="both"/>
        <w:rPr>
          <w:rFonts w:ascii="Times New Roman" w:cs="Times New Roman" w:hAnsi="Times New Roman"/>
          <w:b/>
          <w:bCs/>
          <w:color w:val="auto"/>
          <w:sz w:val="28"/>
          <w:szCs w:val="28"/>
        </w:rPr>
      </w:pPr>
    </w:p>
    <w:p w14:paraId="00000338">
      <w:pPr>
        <w:spacing w:beforeAutospacing="0" w:after="0" w:afterAutospacing="0" w:line="360" w:lineRule="auto"/>
        <w:ind w:firstLine="709"/>
        <w:jc w:val="both"/>
        <w:rPr>
          <w:rFonts w:ascii="Times New Roman" w:cs="Times New Roman" w:hAnsi="Times New Roman"/>
          <w:b/>
          <w:bCs/>
          <w:color w:val="auto"/>
          <w:sz w:val="28"/>
          <w:szCs w:val="28"/>
        </w:rPr>
      </w:pPr>
    </w:p>
    <w:p w14:paraId="00000339">
      <w:pPr>
        <w:spacing w:beforeAutospacing="0" w:after="0" w:afterAutospacing="0" w:line="360" w:lineRule="auto"/>
        <w:ind w:firstLine="709"/>
        <w:jc w:val="both"/>
        <w:rPr>
          <w:rFonts w:ascii="Times New Roman" w:cs="Times New Roman" w:hAnsi="Times New Roman"/>
          <w:b/>
          <w:bCs/>
          <w:color w:val="auto"/>
          <w:sz w:val="28"/>
          <w:szCs w:val="28"/>
        </w:rPr>
      </w:pPr>
    </w:p>
    <w:p w14:paraId="0000033A">
      <w:pPr>
        <w:spacing w:beforeAutospacing="0" w:after="0" w:afterAutospacing="0" w:line="360" w:lineRule="auto"/>
        <w:ind w:firstLine="709"/>
        <w:jc w:val="both"/>
        <w:rPr>
          <w:rFonts w:ascii="Times New Roman" w:cs="Times New Roman" w:hAnsi="Times New Roman"/>
          <w:b/>
          <w:bCs/>
          <w:color w:val="auto"/>
          <w:sz w:val="28"/>
          <w:szCs w:val="28"/>
        </w:rPr>
      </w:pPr>
    </w:p>
    <w:p w14:paraId="0000033B">
      <w:pPr>
        <w:spacing w:beforeAutospacing="0" w:after="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3 Технико-технологическое обеспечение и разработка системы управления производством гиперпрессованного кирпича</w:t>
      </w:r>
      <w:bookmarkEnd w:id="5"/>
      <w:bookmarkStart w:id="6" w:name="_Toc232406681"/>
    </w:p>
    <w:p w14:paraId="0000033C">
      <w:pPr>
        <w:pStyle w:val="Heading1"/>
        <w:spacing w:before="0" w:beforeAutospacing="0" w:afterAutospacing="0" w:line="360" w:lineRule="auto"/>
        <w:ind w:firstLine="709"/>
        <w:jc w:val="both"/>
        <w:rPr>
          <w:rFonts w:ascii="Times New Roman" w:cs="Times New Roman" w:hAnsi="Times New Roman"/>
          <w:b/>
          <w:bCs/>
          <w:color w:val="auto"/>
          <w:sz w:val="28"/>
          <w:szCs w:val="28"/>
        </w:rPr>
      </w:pPr>
    </w:p>
    <w:p w14:paraId="0000033D">
      <w:pPr>
        <w:pStyle w:val="Heading1"/>
        <w:spacing w:before="0" w:beforeAutospacing="0" w:afterAutospacing="0" w:line="360" w:lineRule="auto"/>
        <w:ind w:firstLine="709"/>
        <w:jc w:val="both"/>
        <w:rPr>
          <w:rFonts w:ascii="Times New Roman" w:cs="Times New Roman" w:hAnsi="Times New Roman"/>
          <w:b/>
          <w:bCs/>
          <w:color w:val="auto"/>
          <w:sz w:val="28"/>
          <w:szCs w:val="28"/>
        </w:rPr>
      </w:pPr>
    </w:p>
    <w:p w14:paraId="0000033E">
      <w:pPr>
        <w:pStyle w:val="Heading1"/>
        <w:spacing w:before="0" w:beforeAutospacing="0" w:afterAutospacing="0" w:line="360" w:lineRule="auto"/>
        <w:ind w:firstLine="709"/>
        <w:jc w:val="both"/>
        <w:rPr>
          <w:rFonts w:ascii="Times New Roman" w:cs="Times New Roman" w:hAnsi="Times New Roman"/>
          <w:b/>
          <w:bCs/>
          <w:sz w:val="28"/>
          <w:szCs w:val="28"/>
        </w:rPr>
      </w:pPr>
      <w:r>
        <w:rPr>
          <w:rFonts w:ascii="Times New Roman" w:cs="Times New Roman" w:hAnsi="Times New Roman"/>
          <w:b/>
          <w:bCs/>
          <w:color w:val="auto"/>
          <w:sz w:val="28"/>
          <w:szCs w:val="28"/>
        </w:rPr>
        <w:t>3.1 Проектирование системы управления и организационно-функциональных характеристик предприятия</w:t>
      </w:r>
      <w:bookmarkEnd w:id="6"/>
    </w:p>
    <w:p w14:paraId="0000033F">
      <w:pPr>
        <w:spacing w:beforeAutospacing="0" w:after="0" w:afterAutospacing="0" w:line="360" w:lineRule="auto"/>
        <w:ind w:firstLine="709"/>
        <w:jc w:val="both"/>
        <w:rPr>
          <w:rFonts w:ascii="Times New Roman" w:cs="Times New Roman" w:hAnsi="Times New Roman"/>
          <w:sz w:val="28"/>
          <w:szCs w:val="28"/>
        </w:rPr>
      </w:pPr>
    </w:p>
    <w:p w14:paraId="00000340">
      <w:pPr>
        <w:spacing w:beforeAutospacing="0" w:after="0" w:afterAutospacing="0" w:line="360" w:lineRule="auto"/>
        <w:ind w:firstLine="709"/>
        <w:jc w:val="both"/>
        <w:rPr>
          <w:rFonts w:ascii="Times New Roman" w:cs="Times New Roman" w:hAnsi="Times New Roman"/>
          <w:sz w:val="28"/>
          <w:szCs w:val="28"/>
        </w:rPr>
      </w:pPr>
    </w:p>
    <w:p w14:paraId="00000341">
      <w:pPr>
        <w:spacing w:beforeAutospacing="0" w:after="0" w:afterAutospacing="0" w:line="360" w:lineRule="auto"/>
        <w:ind w:firstLine="709"/>
        <w:jc w:val="both"/>
        <w:rPr>
          <w:rFonts w:ascii="Times New Roman" w:cs="Times New Roman" w:hAnsi="Times New Roman"/>
          <w:bCs/>
          <w:color w:val="000000" w:themeColor="text1"/>
          <w:sz w:val="28"/>
          <w:szCs w:val="28"/>
        </w:rPr>
      </w:pPr>
      <w:r>
        <w:rPr>
          <w:rFonts w:ascii="Times New Roman" w:cs="Times New Roman" w:hAnsi="Times New Roman"/>
          <w:bCs/>
          <w:color w:val="000000" w:themeColor="text1"/>
          <w:sz w:val="28"/>
          <w:szCs w:val="28"/>
        </w:rPr>
        <w:t>Создание эффективно работающего предприятия по производству гиперпрессованного кирпича требует чёткого проектирования управленческой структуры, распределения функциональных обязанностей и определения штатной численности. В данном параграфе рассматриваются основные элементы системы управления, адаптированные к масштабу и специфике проектируемого производства, с учётом локализации в Пензенской области.</w:t>
      </w:r>
    </w:p>
    <w:p w14:paraId="00000342">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color w:val="000000" w:themeColor="text1"/>
          <w:sz w:val="28"/>
          <w:szCs w:val="28"/>
        </w:rPr>
        <w:t>Для производства гиперпрессованного кирпича наиболее целесообразной формой является общество с ограниченной ответственностью (ООО) с учётом специфики производственной деятельности. Преимущества ООО: ограниченная ответственность участников (риск только в пределах уставного капитала), возможность привлечения и</w:t>
      </w:r>
      <w:r>
        <w:rPr>
          <w:rFonts w:ascii="Times New Roman" w:cs="Times New Roman" w:hAnsi="Times New Roman"/>
          <w:bCs/>
          <w:sz w:val="28"/>
          <w:szCs w:val="28"/>
        </w:rPr>
        <w:t>нвестиций путём увеличения уставного капитала или входа новых участников, относительно простые процедуры регистрации и ликвидации, возможность перехода на упрощённую систему налогообложения [30, с. 111]]. Уставный капитал устанавливается в минимальном размере 10 000 руб., но для доверия партнёров рекомендуется сформировать его в размере 100 000–500 000 руб.</w:t>
      </w:r>
    </w:p>
    <w:p w14:paraId="00000343">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Основные виды деятельности по ОКВЭД 2:</w:t>
      </w:r>
    </w:p>
    <w:p w14:paraId="00000344">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1) 23.61 – «Производство изделий из бетона для строительства»;</w:t>
      </w:r>
    </w:p>
    <w:p w14:paraId="00000345">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2) 46.73 – «Торговля оптовая лесоматериалами, строительными материалами и санитарно-техническим оборудованием»;</w:t>
      </w:r>
    </w:p>
    <w:p w14:paraId="00000346">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3) 52.10 – «Деятельность по складированию и хранению» [31, с. 231].</w:t>
      </w:r>
    </w:p>
    <w:p w14:paraId="00000347">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Для предприятия с численностью 17 человек и средней степенью сложности производственных процессов оптимальной является линейно-функциональная структура. Она сочетает единоначалие (линейные руководители отвечают за конечный результат) и функциональное разделение (специалисты по маркетингу, бухгалтерии, технологии обеспечивают поддержку).</w:t>
      </w:r>
    </w:p>
    <w:p w14:paraId="00000348">
      <w:pPr>
        <w:spacing w:beforeAutospacing="0" w:after="0" w:afterAutospacing="0" w:line="360" w:lineRule="auto"/>
        <w:jc w:val="center"/>
        <w:rPr>
          <w:rFonts w:ascii="Times New Roman" w:cs="Times New Roman" w:hAnsi="Times New Roman"/>
          <w:bCs/>
          <w:sz w:val="28"/>
          <w:szCs w:val="28"/>
        </w:rPr>
      </w:pPr>
      <w:r>
        <w:rPr>
          <w:rFonts w:ascii="Times New Roman" w:cs="Times New Roman" w:hAnsi="Times New Roman"/>
          <w:bCs/>
          <w:sz w:val="28"/>
          <w:szCs w:val="28"/>
        </w:rPr>
        <w:drawing xmlns:mc="http://schemas.openxmlformats.org/markup-compatibility/2006">
          <wp:inline distT="114300" distB="114300" distL="114300" distR="114300">
            <wp:extent cx="4831080" cy="3418840"/>
            <wp:effectExtent l="0" t="0" r="0" b="0"/>
            <wp:docPr id="204"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16"/>
                    <pic:cNvPicPr>
                      <a:picLocks noGrp="0" noSelect="0" noChangeAspect="1" noMove="0"/>
                    </pic:cNvPicPr>
                  </pic:nvPicPr>
                  <pic:blipFill>
                    <a:blip r:embed="rId67"/>
                    <a:srcRect/>
                    <a:stretch>
                      <a:fillRect/>
                    </a:stretch>
                  </pic:blipFill>
                  <pic:spPr>
                    <a:xfrm>
                      <a:off x="0" y="0"/>
                      <a:ext cx="4831080" cy="3418840"/>
                    </a:xfrm>
                    <a:prstGeom prst="rect">
                      <a:avLst/>
                    </a:prstGeom>
                  </pic:spPr>
                </pic:pic>
              </a:graphicData>
            </a:graphic>
          </wp:inline>
        </w:drawing>
      </w:r>
    </w:p>
    <w:p w14:paraId="00000349">
      <w:pPr>
        <w:spacing w:beforeAutospacing="0" w:after="0" w:afterAutospacing="0" w:line="240" w:lineRule="auto"/>
        <w:ind w:firstLine="709"/>
        <w:jc w:val="center"/>
        <w:rPr>
          <w:rFonts w:ascii="Times New Roman" w:cs="Times New Roman" w:hAnsi="Times New Roman"/>
          <w:bCs/>
          <w:sz w:val="28"/>
          <w:szCs w:val="28"/>
        </w:rPr>
      </w:pPr>
      <w:r>
        <w:rPr>
          <w:rFonts w:ascii="Times New Roman" w:cs="Times New Roman" w:hAnsi="Times New Roman"/>
          <w:bCs/>
          <w:sz w:val="28"/>
          <w:szCs w:val="28"/>
        </w:rPr>
        <w:t>Рисунок 3.1 – Организационная структура</w:t>
      </w:r>
    </w:p>
    <w:p w14:paraId="0000034A">
      <w:pPr>
        <w:spacing w:beforeAutospacing="0" w:after="0" w:afterAutospacing="0" w:line="240" w:lineRule="auto"/>
        <w:ind w:firstLine="709"/>
        <w:jc w:val="both"/>
        <w:rPr>
          <w:rFonts w:ascii="Times New Roman" w:cs="Times New Roman" w:hAnsi="Times New Roman"/>
          <w:b/>
          <w:bCs/>
          <w:i/>
          <w:iCs/>
          <w:sz w:val="28"/>
          <w:szCs w:val="28"/>
        </w:rPr>
      </w:pPr>
    </w:p>
    <w:p w14:paraId="0000034B">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Линейно-функциональная структура с разделением на производственный блок (производственный менеджер, технолог, рабочие) и коммерческий блок (коммерческий директор, менеджеры по продажам) позволяет быстро принимать решения и эффективно управлять небольшим коллективом. Генеральный директор остаётся «центром принятия решений», но опирается на мнение функциональных специалистов.</w:t>
      </w:r>
    </w:p>
    <w:p w14:paraId="0000034C">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Расчёт численности произведён с учётом двухсменного режима работы (по 8 часов, 5 дней в неделю). Общая численность – 17 человек. Штатное расписание представлено в таблице 3.2. Расчёт ежемесячного фонда оплаты </w:t>
      </w:r>
      <w:r>
        <w:rPr>
          <w:rFonts w:ascii="Times New Roman" w:cs="Times New Roman" w:hAnsi="Times New Roman"/>
          <w:bCs/>
          <w:sz w:val="28"/>
          <w:szCs w:val="28"/>
        </w:rPr>
        <w:t>труда (ФОТ) в размере 760 тыс. рублей, с учётом страховых взносов (30%) – 988 тыс. рублей, является обоснованным для Пензенской области (уровень зарплат здесь ниже, чем в Москве, но выше среднего по региону). Такая численность персонала позволяет обеспечить непрерывность производственного процесса без избыточной нагрузки на фонд оплаты труда. Особое внимание при найме следует уделить технологу и менеджерам по продажам. Детальное расписание предприятия представлено в таблице 3.1.</w:t>
      </w:r>
    </w:p>
    <w:p w14:paraId="0000034D">
      <w:pPr>
        <w:spacing w:beforeAutospacing="0" w:after="0" w:afterAutospacing="0" w:line="360" w:lineRule="auto"/>
        <w:jc w:val="both"/>
        <w:rPr>
          <w:rFonts w:ascii="Times New Roman" w:cs="Times New Roman" w:hAnsi="Times New Roman"/>
          <w:bCs/>
          <w:sz w:val="28"/>
          <w:szCs w:val="28"/>
        </w:rPr>
      </w:pPr>
      <w:r>
        <w:rPr>
          <w:rFonts w:ascii="Times New Roman" w:cs="Times New Roman" w:hAnsi="Times New Roman"/>
          <w:bCs/>
          <w:sz w:val="28"/>
          <w:szCs w:val="28"/>
        </w:rPr>
        <w:t>Таблица 3.1 – Штатное расписание предприятия по производству гиперпрессованного кирпича</w:t>
      </w:r>
    </w:p>
    <w:tbl>
      <w:tblPr>
        <w:tblStyle w:val="TableGrid"/>
        <w:tblW w:w="9349" w:type="dxa"/>
        <w:tblInd w:w="112" w:type="dxa"/>
        <w:tblLook w:val="04A0"/>
      </w:tblPr>
      <w:tblGrid>
        <w:gridCol w:w="2509"/>
        <w:gridCol w:w="1014"/>
        <w:gridCol w:w="2006"/>
        <w:gridCol w:w="1953"/>
        <w:gridCol w:w="1867"/>
      </w:tblGrid>
      <w:tr>
        <w:trPr/>
        <w:tc>
          <w:tcPr>
            <w:cnfStyle w:val="101000000000"/>
            <w:tcW w:w="2509" w:type="dxa"/>
          </w:tcPr>
          <w:p w14:paraId="0000034E">
            <w:pPr>
              <w:jc w:val="center"/>
              <w:rPr>
                <w:rFonts w:ascii="Times New Roman" w:cs="Times New Roman" w:hAnsi="Times New Roman"/>
                <w:bCs/>
                <w:sz w:val="24"/>
                <w:szCs w:val="24"/>
              </w:rPr>
            </w:pPr>
            <w:r>
              <w:rPr>
                <w:rFonts w:ascii="Times New Roman" w:cs="Times New Roman" w:hAnsi="Times New Roman"/>
                <w:bCs/>
                <w:sz w:val="24"/>
                <w:szCs w:val="24"/>
              </w:rPr>
              <w:t>Должность</w:t>
            </w:r>
          </w:p>
        </w:tc>
        <w:tc>
          <w:tcPr>
            <w:cnfStyle w:val="100000000000"/>
            <w:tcW w:w="1014" w:type="dxa"/>
          </w:tcPr>
          <w:p w14:paraId="0000034F">
            <w:pPr>
              <w:jc w:val="center"/>
              <w:rPr>
                <w:rFonts w:ascii="Times New Roman" w:cs="Times New Roman" w:hAnsi="Times New Roman"/>
                <w:bCs/>
                <w:sz w:val="24"/>
                <w:szCs w:val="24"/>
              </w:rPr>
            </w:pPr>
            <w:r>
              <w:rPr>
                <w:rFonts w:ascii="Times New Roman" w:cs="Times New Roman" w:hAnsi="Times New Roman"/>
                <w:bCs/>
                <w:sz w:val="24"/>
                <w:szCs w:val="24"/>
              </w:rPr>
              <w:t>Кол-во ставок</w:t>
            </w:r>
          </w:p>
        </w:tc>
        <w:tc>
          <w:tcPr>
            <w:cnfStyle w:val="100000000000"/>
            <w:tcW w:w="2006" w:type="dxa"/>
          </w:tcPr>
          <w:p w14:paraId="00000350">
            <w:pPr>
              <w:jc w:val="center"/>
              <w:rPr>
                <w:rFonts w:ascii="Times New Roman" w:cs="Times New Roman" w:hAnsi="Times New Roman"/>
                <w:bCs/>
                <w:sz w:val="24"/>
                <w:szCs w:val="24"/>
              </w:rPr>
            </w:pPr>
            <w:r>
              <w:rPr>
                <w:rFonts w:ascii="Times New Roman" w:cs="Times New Roman" w:hAnsi="Times New Roman"/>
                <w:bCs/>
                <w:sz w:val="24"/>
                <w:szCs w:val="24"/>
              </w:rPr>
              <w:t>Форма оплаты</w:t>
            </w:r>
          </w:p>
        </w:tc>
        <w:tc>
          <w:tcPr>
            <w:cnfStyle w:val="100000000000"/>
            <w:tcW w:w="1953" w:type="dxa"/>
          </w:tcPr>
          <w:p w14:paraId="00000351">
            <w:pPr>
              <w:jc w:val="center"/>
              <w:rPr>
                <w:rFonts w:ascii="Times New Roman" w:cs="Times New Roman" w:hAnsi="Times New Roman"/>
                <w:bCs/>
                <w:sz w:val="24"/>
                <w:szCs w:val="24"/>
              </w:rPr>
            </w:pPr>
            <w:r>
              <w:rPr>
                <w:rFonts w:ascii="Times New Roman" w:cs="Times New Roman" w:hAnsi="Times New Roman"/>
                <w:bCs/>
                <w:sz w:val="24"/>
                <w:szCs w:val="24"/>
              </w:rPr>
              <w:t>Средняя з/п, тыс. руб./мес.</w:t>
            </w:r>
          </w:p>
        </w:tc>
        <w:tc>
          <w:tcPr>
            <w:cnfStyle w:val="100000000000"/>
            <w:tcW w:w="1867" w:type="dxa"/>
          </w:tcPr>
          <w:p w14:paraId="00000352">
            <w:pPr>
              <w:jc w:val="center"/>
              <w:rPr>
                <w:rFonts w:ascii="Times New Roman" w:cs="Times New Roman" w:hAnsi="Times New Roman"/>
                <w:bCs/>
                <w:sz w:val="24"/>
                <w:szCs w:val="24"/>
              </w:rPr>
            </w:pPr>
            <w:r>
              <w:rPr>
                <w:rFonts w:ascii="Times New Roman" w:cs="Times New Roman" w:hAnsi="Times New Roman"/>
                <w:bCs/>
                <w:sz w:val="24"/>
                <w:szCs w:val="24"/>
              </w:rPr>
              <w:t>ФОТ в месяц, тыс. руб.</w:t>
            </w:r>
          </w:p>
        </w:tc>
      </w:tr>
      <w:tr>
        <w:trPr/>
        <w:tc>
          <w:tcPr>
            <w:cnfStyle w:val="001000100000"/>
            <w:tcW w:w="2509" w:type="dxa"/>
          </w:tcPr>
          <w:p w14:paraId="00000353">
            <w:pPr>
              <w:jc w:val="both"/>
              <w:rPr>
                <w:rFonts w:ascii="Times New Roman" w:cs="Times New Roman" w:hAnsi="Times New Roman"/>
                <w:bCs/>
                <w:sz w:val="24"/>
                <w:szCs w:val="24"/>
              </w:rPr>
            </w:pPr>
            <w:r>
              <w:rPr>
                <w:rFonts w:ascii="Times New Roman" w:cs="Times New Roman" w:hAnsi="Times New Roman"/>
                <w:bCs/>
                <w:sz w:val="24"/>
                <w:szCs w:val="24"/>
              </w:rPr>
              <w:t>Генеральный директор</w:t>
            </w:r>
          </w:p>
        </w:tc>
        <w:tc>
          <w:tcPr>
            <w:cnfStyle w:val="000000100000"/>
            <w:tcW w:w="1014" w:type="dxa"/>
          </w:tcPr>
          <w:p w14:paraId="00000354">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100000"/>
            <w:tcW w:w="2006" w:type="dxa"/>
          </w:tcPr>
          <w:p w14:paraId="00000355">
            <w:pPr>
              <w:jc w:val="center"/>
              <w:rPr>
                <w:rFonts w:ascii="Times New Roman" w:cs="Times New Roman" w:hAnsi="Times New Roman"/>
                <w:bCs/>
                <w:sz w:val="24"/>
                <w:szCs w:val="24"/>
              </w:rPr>
            </w:pPr>
            <w:r>
              <w:rPr>
                <w:rFonts w:ascii="Times New Roman" w:cs="Times New Roman" w:hAnsi="Times New Roman"/>
                <w:bCs/>
                <w:sz w:val="24"/>
                <w:szCs w:val="24"/>
              </w:rPr>
              <w:t>Оклад + % от прибыли</w:t>
            </w:r>
          </w:p>
        </w:tc>
        <w:tc>
          <w:tcPr>
            <w:cnfStyle w:val="000000100000"/>
            <w:tcW w:w="1953" w:type="dxa"/>
          </w:tcPr>
          <w:p w14:paraId="00000356">
            <w:pPr>
              <w:jc w:val="center"/>
              <w:rPr>
                <w:rFonts w:ascii="Times New Roman" w:cs="Times New Roman" w:hAnsi="Times New Roman"/>
                <w:bCs/>
                <w:sz w:val="24"/>
                <w:szCs w:val="24"/>
              </w:rPr>
            </w:pPr>
            <w:r>
              <w:rPr>
                <w:rFonts w:ascii="Times New Roman" w:cs="Times New Roman" w:hAnsi="Times New Roman"/>
                <w:bCs/>
                <w:sz w:val="24"/>
                <w:szCs w:val="24"/>
              </w:rPr>
              <w:t>90</w:t>
            </w:r>
          </w:p>
        </w:tc>
        <w:tc>
          <w:tcPr>
            <w:cnfStyle w:val="000000100000"/>
            <w:tcW w:w="1867" w:type="dxa"/>
          </w:tcPr>
          <w:p w14:paraId="00000357">
            <w:pPr>
              <w:jc w:val="center"/>
              <w:rPr>
                <w:rFonts w:ascii="Times New Roman" w:cs="Times New Roman" w:hAnsi="Times New Roman"/>
                <w:bCs/>
                <w:sz w:val="24"/>
                <w:szCs w:val="24"/>
              </w:rPr>
            </w:pPr>
            <w:r>
              <w:rPr>
                <w:rFonts w:ascii="Times New Roman" w:cs="Times New Roman" w:hAnsi="Times New Roman"/>
                <w:bCs/>
                <w:sz w:val="24"/>
                <w:szCs w:val="24"/>
              </w:rPr>
              <w:t>90</w:t>
            </w:r>
          </w:p>
        </w:tc>
      </w:tr>
      <w:tr>
        <w:trPr/>
        <w:tc>
          <w:tcPr>
            <w:cnfStyle w:val="001000010000"/>
            <w:tcW w:w="2509" w:type="dxa"/>
          </w:tcPr>
          <w:p w14:paraId="00000358">
            <w:pPr>
              <w:jc w:val="both"/>
              <w:rPr>
                <w:rFonts w:ascii="Times New Roman" w:cs="Times New Roman" w:hAnsi="Times New Roman"/>
                <w:bCs/>
                <w:sz w:val="24"/>
                <w:szCs w:val="24"/>
              </w:rPr>
            </w:pPr>
            <w:r>
              <w:rPr>
                <w:rFonts w:ascii="Times New Roman" w:cs="Times New Roman" w:hAnsi="Times New Roman"/>
                <w:bCs/>
                <w:sz w:val="24"/>
                <w:szCs w:val="24"/>
              </w:rPr>
              <w:t>Коммерческий директор</w:t>
            </w:r>
          </w:p>
        </w:tc>
        <w:tc>
          <w:tcPr>
            <w:cnfStyle w:val="000000010000"/>
            <w:tcW w:w="1014" w:type="dxa"/>
          </w:tcPr>
          <w:p w14:paraId="00000359">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010000"/>
            <w:tcW w:w="2006" w:type="dxa"/>
          </w:tcPr>
          <w:p w14:paraId="0000035A">
            <w:pPr>
              <w:jc w:val="center"/>
              <w:rPr>
                <w:rFonts w:ascii="Times New Roman" w:cs="Times New Roman" w:hAnsi="Times New Roman"/>
                <w:bCs/>
                <w:sz w:val="24"/>
                <w:szCs w:val="24"/>
              </w:rPr>
            </w:pPr>
            <w:r>
              <w:rPr>
                <w:rFonts w:ascii="Times New Roman" w:cs="Times New Roman" w:hAnsi="Times New Roman"/>
                <w:bCs/>
                <w:sz w:val="24"/>
                <w:szCs w:val="24"/>
              </w:rPr>
              <w:t>Оклад + % от выручки</w:t>
            </w:r>
          </w:p>
        </w:tc>
        <w:tc>
          <w:tcPr>
            <w:cnfStyle w:val="000000010000"/>
            <w:tcW w:w="1953" w:type="dxa"/>
          </w:tcPr>
          <w:p w14:paraId="0000035B">
            <w:pPr>
              <w:jc w:val="center"/>
              <w:rPr>
                <w:rFonts w:ascii="Times New Roman" w:cs="Times New Roman" w:hAnsi="Times New Roman"/>
                <w:bCs/>
                <w:sz w:val="24"/>
                <w:szCs w:val="24"/>
              </w:rPr>
            </w:pPr>
            <w:r>
              <w:rPr>
                <w:rFonts w:ascii="Times New Roman" w:cs="Times New Roman" w:hAnsi="Times New Roman"/>
                <w:bCs/>
                <w:sz w:val="24"/>
                <w:szCs w:val="24"/>
              </w:rPr>
              <w:t>70</w:t>
            </w:r>
          </w:p>
        </w:tc>
        <w:tc>
          <w:tcPr>
            <w:cnfStyle w:val="000000010000"/>
            <w:tcW w:w="1867" w:type="dxa"/>
          </w:tcPr>
          <w:p w14:paraId="0000035C">
            <w:pPr>
              <w:jc w:val="center"/>
              <w:rPr>
                <w:rFonts w:ascii="Times New Roman" w:cs="Times New Roman" w:hAnsi="Times New Roman"/>
                <w:bCs/>
                <w:sz w:val="24"/>
                <w:szCs w:val="24"/>
              </w:rPr>
            </w:pPr>
            <w:r>
              <w:rPr>
                <w:rFonts w:ascii="Times New Roman" w:cs="Times New Roman" w:hAnsi="Times New Roman"/>
                <w:bCs/>
                <w:sz w:val="24"/>
                <w:szCs w:val="24"/>
              </w:rPr>
              <w:t>70</w:t>
            </w:r>
          </w:p>
        </w:tc>
      </w:tr>
      <w:tr>
        <w:trPr/>
        <w:tc>
          <w:tcPr>
            <w:cnfStyle w:val="001000100000"/>
            <w:tcW w:w="2509" w:type="dxa"/>
          </w:tcPr>
          <w:p w14:paraId="0000035D">
            <w:pPr>
              <w:jc w:val="both"/>
              <w:rPr>
                <w:rFonts w:ascii="Times New Roman" w:cs="Times New Roman" w:hAnsi="Times New Roman"/>
                <w:bCs/>
                <w:sz w:val="24"/>
                <w:szCs w:val="24"/>
              </w:rPr>
            </w:pPr>
            <w:r>
              <w:rPr>
                <w:rFonts w:ascii="Times New Roman" w:cs="Times New Roman" w:hAnsi="Times New Roman"/>
                <w:bCs/>
                <w:sz w:val="24"/>
                <w:szCs w:val="24"/>
              </w:rPr>
              <w:t>Производственный менеджер</w:t>
            </w:r>
          </w:p>
        </w:tc>
        <w:tc>
          <w:tcPr>
            <w:cnfStyle w:val="000000100000"/>
            <w:tcW w:w="1014" w:type="dxa"/>
          </w:tcPr>
          <w:p w14:paraId="0000035E">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100000"/>
            <w:tcW w:w="2006" w:type="dxa"/>
          </w:tcPr>
          <w:p w14:paraId="0000035F">
            <w:pPr>
              <w:jc w:val="center"/>
              <w:rPr>
                <w:rFonts w:ascii="Times New Roman" w:cs="Times New Roman" w:hAnsi="Times New Roman"/>
                <w:bCs/>
                <w:sz w:val="24"/>
                <w:szCs w:val="24"/>
              </w:rPr>
            </w:pPr>
            <w:r>
              <w:rPr>
                <w:rFonts w:ascii="Times New Roman" w:cs="Times New Roman" w:hAnsi="Times New Roman"/>
                <w:bCs/>
                <w:sz w:val="24"/>
                <w:szCs w:val="24"/>
              </w:rPr>
              <w:t>Оклад + премия</w:t>
            </w:r>
          </w:p>
        </w:tc>
        <w:tc>
          <w:tcPr>
            <w:cnfStyle w:val="000000100000"/>
            <w:tcW w:w="1953" w:type="dxa"/>
          </w:tcPr>
          <w:p w14:paraId="00000360">
            <w:pPr>
              <w:jc w:val="center"/>
              <w:rPr>
                <w:rFonts w:ascii="Times New Roman" w:cs="Times New Roman" w:hAnsi="Times New Roman"/>
                <w:bCs/>
                <w:sz w:val="24"/>
                <w:szCs w:val="24"/>
              </w:rPr>
            </w:pPr>
            <w:r>
              <w:rPr>
                <w:rFonts w:ascii="Times New Roman" w:cs="Times New Roman" w:hAnsi="Times New Roman"/>
                <w:bCs/>
                <w:sz w:val="24"/>
                <w:szCs w:val="24"/>
              </w:rPr>
              <w:t>60</w:t>
            </w:r>
          </w:p>
        </w:tc>
        <w:tc>
          <w:tcPr>
            <w:cnfStyle w:val="000000100000"/>
            <w:tcW w:w="1867" w:type="dxa"/>
          </w:tcPr>
          <w:p w14:paraId="00000361">
            <w:pPr>
              <w:jc w:val="center"/>
              <w:rPr>
                <w:rFonts w:ascii="Times New Roman" w:cs="Times New Roman" w:hAnsi="Times New Roman"/>
                <w:bCs/>
                <w:sz w:val="24"/>
                <w:szCs w:val="24"/>
              </w:rPr>
            </w:pPr>
            <w:r>
              <w:rPr>
                <w:rFonts w:ascii="Times New Roman" w:cs="Times New Roman" w:hAnsi="Times New Roman"/>
                <w:bCs/>
                <w:sz w:val="24"/>
                <w:szCs w:val="24"/>
              </w:rPr>
              <w:t>60</w:t>
            </w:r>
          </w:p>
        </w:tc>
      </w:tr>
      <w:tr>
        <w:trPr/>
        <w:tc>
          <w:tcPr>
            <w:cnfStyle w:val="001000010000"/>
            <w:tcW w:w="2509" w:type="dxa"/>
          </w:tcPr>
          <w:p w14:paraId="00000362">
            <w:pPr>
              <w:jc w:val="both"/>
              <w:rPr>
                <w:rFonts w:ascii="Times New Roman" w:cs="Times New Roman" w:hAnsi="Times New Roman"/>
                <w:bCs/>
                <w:sz w:val="24"/>
                <w:szCs w:val="24"/>
              </w:rPr>
            </w:pPr>
            <w:r>
              <w:rPr>
                <w:rFonts w:ascii="Times New Roman" w:cs="Times New Roman" w:hAnsi="Times New Roman"/>
                <w:bCs/>
                <w:sz w:val="24"/>
                <w:szCs w:val="24"/>
              </w:rPr>
              <w:t>Главный бухгалтер</w:t>
            </w:r>
          </w:p>
        </w:tc>
        <w:tc>
          <w:tcPr>
            <w:cnfStyle w:val="000000010000"/>
            <w:tcW w:w="1014" w:type="dxa"/>
          </w:tcPr>
          <w:p w14:paraId="00000363">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010000"/>
            <w:tcW w:w="2006" w:type="dxa"/>
          </w:tcPr>
          <w:p w14:paraId="00000364">
            <w:pPr>
              <w:jc w:val="center"/>
              <w:rPr>
                <w:rFonts w:ascii="Times New Roman" w:cs="Times New Roman" w:hAnsi="Times New Roman"/>
                <w:bCs/>
                <w:sz w:val="24"/>
                <w:szCs w:val="24"/>
              </w:rPr>
            </w:pPr>
            <w:r>
              <w:rPr>
                <w:rFonts w:ascii="Times New Roman" w:cs="Times New Roman" w:hAnsi="Times New Roman"/>
                <w:bCs/>
                <w:sz w:val="24"/>
                <w:szCs w:val="24"/>
              </w:rPr>
              <w:t>Оклад</w:t>
            </w:r>
          </w:p>
        </w:tc>
        <w:tc>
          <w:tcPr>
            <w:cnfStyle w:val="000000010000"/>
            <w:tcW w:w="1953" w:type="dxa"/>
          </w:tcPr>
          <w:p w14:paraId="00000365">
            <w:pPr>
              <w:jc w:val="center"/>
              <w:rPr>
                <w:rFonts w:ascii="Times New Roman" w:cs="Times New Roman" w:hAnsi="Times New Roman"/>
                <w:bCs/>
                <w:sz w:val="24"/>
                <w:szCs w:val="24"/>
              </w:rPr>
            </w:pPr>
            <w:r>
              <w:rPr>
                <w:rFonts w:ascii="Times New Roman" w:cs="Times New Roman" w:hAnsi="Times New Roman"/>
                <w:bCs/>
                <w:sz w:val="24"/>
                <w:szCs w:val="24"/>
              </w:rPr>
              <w:t>50</w:t>
            </w:r>
          </w:p>
        </w:tc>
        <w:tc>
          <w:tcPr>
            <w:cnfStyle w:val="000000010000"/>
            <w:tcW w:w="1867" w:type="dxa"/>
          </w:tcPr>
          <w:p w14:paraId="00000366">
            <w:pPr>
              <w:jc w:val="center"/>
              <w:rPr>
                <w:rFonts w:ascii="Times New Roman" w:cs="Times New Roman" w:hAnsi="Times New Roman"/>
                <w:bCs/>
                <w:sz w:val="24"/>
                <w:szCs w:val="24"/>
              </w:rPr>
            </w:pPr>
            <w:r>
              <w:rPr>
                <w:rFonts w:ascii="Times New Roman" w:cs="Times New Roman" w:hAnsi="Times New Roman"/>
                <w:bCs/>
                <w:sz w:val="24"/>
                <w:szCs w:val="24"/>
              </w:rPr>
              <w:t>50</w:t>
            </w:r>
          </w:p>
        </w:tc>
      </w:tr>
      <w:tr>
        <w:trPr/>
        <w:tc>
          <w:tcPr>
            <w:cnfStyle w:val="001000100000"/>
            <w:tcW w:w="2509" w:type="dxa"/>
          </w:tcPr>
          <w:p w14:paraId="00000367">
            <w:pPr>
              <w:jc w:val="both"/>
              <w:rPr>
                <w:rFonts w:ascii="Times New Roman" w:cs="Times New Roman" w:hAnsi="Times New Roman"/>
                <w:bCs/>
                <w:sz w:val="24"/>
                <w:szCs w:val="24"/>
              </w:rPr>
            </w:pPr>
            <w:r>
              <w:rPr>
                <w:rFonts w:ascii="Times New Roman" w:cs="Times New Roman" w:hAnsi="Times New Roman"/>
                <w:bCs/>
                <w:sz w:val="24"/>
                <w:szCs w:val="24"/>
              </w:rPr>
              <w:t>Технолог</w:t>
            </w:r>
          </w:p>
        </w:tc>
        <w:tc>
          <w:tcPr>
            <w:cnfStyle w:val="000000100000"/>
            <w:tcW w:w="1014" w:type="dxa"/>
          </w:tcPr>
          <w:p w14:paraId="00000368">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100000"/>
            <w:tcW w:w="2006" w:type="dxa"/>
          </w:tcPr>
          <w:p w14:paraId="00000369">
            <w:pPr>
              <w:jc w:val="center"/>
              <w:rPr>
                <w:rFonts w:ascii="Times New Roman" w:cs="Times New Roman" w:hAnsi="Times New Roman"/>
                <w:bCs/>
                <w:sz w:val="24"/>
                <w:szCs w:val="24"/>
              </w:rPr>
            </w:pPr>
            <w:r>
              <w:rPr>
                <w:rFonts w:ascii="Times New Roman" w:cs="Times New Roman" w:hAnsi="Times New Roman"/>
                <w:bCs/>
                <w:sz w:val="24"/>
                <w:szCs w:val="24"/>
              </w:rPr>
              <w:t>Оклад</w:t>
            </w:r>
          </w:p>
        </w:tc>
        <w:tc>
          <w:tcPr>
            <w:cnfStyle w:val="000000100000"/>
            <w:tcW w:w="1953" w:type="dxa"/>
          </w:tcPr>
          <w:p w14:paraId="0000036A">
            <w:pPr>
              <w:jc w:val="center"/>
              <w:rPr>
                <w:rFonts w:ascii="Times New Roman" w:cs="Times New Roman" w:hAnsi="Times New Roman"/>
                <w:bCs/>
                <w:sz w:val="24"/>
                <w:szCs w:val="24"/>
              </w:rPr>
            </w:pPr>
            <w:r>
              <w:rPr>
                <w:rFonts w:ascii="Times New Roman" w:cs="Times New Roman" w:hAnsi="Times New Roman"/>
                <w:bCs/>
                <w:sz w:val="24"/>
                <w:szCs w:val="24"/>
              </w:rPr>
              <w:t>50</w:t>
            </w:r>
          </w:p>
        </w:tc>
        <w:tc>
          <w:tcPr>
            <w:cnfStyle w:val="000000100000"/>
            <w:tcW w:w="1867" w:type="dxa"/>
          </w:tcPr>
          <w:p w14:paraId="0000036B">
            <w:pPr>
              <w:jc w:val="center"/>
              <w:rPr>
                <w:rFonts w:ascii="Times New Roman" w:cs="Times New Roman" w:hAnsi="Times New Roman"/>
                <w:bCs/>
                <w:sz w:val="24"/>
                <w:szCs w:val="24"/>
              </w:rPr>
            </w:pPr>
            <w:r>
              <w:rPr>
                <w:rFonts w:ascii="Times New Roman" w:cs="Times New Roman" w:hAnsi="Times New Roman"/>
                <w:bCs/>
                <w:sz w:val="24"/>
                <w:szCs w:val="24"/>
              </w:rPr>
              <w:t>50</w:t>
            </w:r>
          </w:p>
        </w:tc>
      </w:tr>
      <w:tr>
        <w:trPr/>
        <w:tc>
          <w:tcPr>
            <w:cnfStyle w:val="001000010000"/>
            <w:tcW w:w="2509" w:type="dxa"/>
          </w:tcPr>
          <w:p w14:paraId="0000036C">
            <w:pPr>
              <w:jc w:val="both"/>
              <w:rPr>
                <w:rFonts w:ascii="Times New Roman" w:cs="Times New Roman" w:hAnsi="Times New Roman"/>
                <w:bCs/>
                <w:sz w:val="24"/>
                <w:szCs w:val="24"/>
              </w:rPr>
            </w:pPr>
            <w:r>
              <w:rPr>
                <w:rFonts w:ascii="Times New Roman" w:cs="Times New Roman" w:hAnsi="Times New Roman"/>
                <w:bCs/>
                <w:sz w:val="24"/>
                <w:szCs w:val="24"/>
              </w:rPr>
              <w:t>Менеджер по продажам</w:t>
            </w:r>
          </w:p>
        </w:tc>
        <w:tc>
          <w:tcPr>
            <w:cnfStyle w:val="000000010000"/>
            <w:tcW w:w="1014" w:type="dxa"/>
          </w:tcPr>
          <w:p w14:paraId="0000036D">
            <w:pPr>
              <w:jc w:val="center"/>
              <w:rPr>
                <w:rFonts w:ascii="Times New Roman" w:cs="Times New Roman" w:hAnsi="Times New Roman"/>
                <w:bCs/>
                <w:sz w:val="24"/>
                <w:szCs w:val="24"/>
              </w:rPr>
            </w:pPr>
            <w:r>
              <w:rPr>
                <w:rFonts w:ascii="Times New Roman" w:cs="Times New Roman" w:hAnsi="Times New Roman"/>
                <w:bCs/>
                <w:sz w:val="24"/>
                <w:szCs w:val="24"/>
              </w:rPr>
              <w:t>2</w:t>
            </w:r>
          </w:p>
        </w:tc>
        <w:tc>
          <w:tcPr>
            <w:cnfStyle w:val="000000010000"/>
            <w:tcW w:w="2006" w:type="dxa"/>
          </w:tcPr>
          <w:p w14:paraId="0000036E">
            <w:pPr>
              <w:jc w:val="center"/>
              <w:rPr>
                <w:rFonts w:ascii="Times New Roman" w:cs="Times New Roman" w:hAnsi="Times New Roman"/>
                <w:bCs/>
                <w:sz w:val="24"/>
                <w:szCs w:val="24"/>
              </w:rPr>
            </w:pPr>
            <w:r>
              <w:rPr>
                <w:rFonts w:ascii="Times New Roman" w:cs="Times New Roman" w:hAnsi="Times New Roman"/>
                <w:bCs/>
                <w:sz w:val="24"/>
                <w:szCs w:val="24"/>
              </w:rPr>
              <w:t>Оклад + %</w:t>
            </w:r>
          </w:p>
        </w:tc>
        <w:tc>
          <w:tcPr>
            <w:cnfStyle w:val="000000010000"/>
            <w:tcW w:w="1953" w:type="dxa"/>
          </w:tcPr>
          <w:p w14:paraId="0000036F">
            <w:pPr>
              <w:jc w:val="center"/>
              <w:rPr>
                <w:rFonts w:ascii="Times New Roman" w:cs="Times New Roman" w:hAnsi="Times New Roman"/>
                <w:bCs/>
                <w:sz w:val="24"/>
                <w:szCs w:val="24"/>
              </w:rPr>
            </w:pPr>
            <w:r>
              <w:rPr>
                <w:rFonts w:ascii="Times New Roman" w:cs="Times New Roman" w:hAnsi="Times New Roman"/>
                <w:bCs/>
                <w:sz w:val="24"/>
                <w:szCs w:val="24"/>
              </w:rPr>
              <w:t>35</w:t>
            </w:r>
          </w:p>
        </w:tc>
        <w:tc>
          <w:tcPr>
            <w:cnfStyle w:val="000000010000"/>
            <w:tcW w:w="1867" w:type="dxa"/>
          </w:tcPr>
          <w:p w14:paraId="00000370">
            <w:pPr>
              <w:jc w:val="center"/>
              <w:rPr>
                <w:rFonts w:ascii="Times New Roman" w:cs="Times New Roman" w:hAnsi="Times New Roman"/>
                <w:bCs/>
                <w:sz w:val="24"/>
                <w:szCs w:val="24"/>
              </w:rPr>
            </w:pPr>
            <w:r>
              <w:rPr>
                <w:rFonts w:ascii="Times New Roman" w:cs="Times New Roman" w:hAnsi="Times New Roman"/>
                <w:bCs/>
                <w:sz w:val="24"/>
                <w:szCs w:val="24"/>
              </w:rPr>
              <w:t>70</w:t>
            </w:r>
          </w:p>
        </w:tc>
      </w:tr>
      <w:tr>
        <w:trPr/>
        <w:tc>
          <w:tcPr>
            <w:cnfStyle w:val="001000100000"/>
            <w:tcW w:w="2509" w:type="dxa"/>
          </w:tcPr>
          <w:p w14:paraId="00000371">
            <w:pPr>
              <w:jc w:val="both"/>
              <w:rPr>
                <w:rFonts w:ascii="Times New Roman" w:cs="Times New Roman" w:hAnsi="Times New Roman"/>
                <w:bCs/>
                <w:sz w:val="24"/>
                <w:szCs w:val="24"/>
              </w:rPr>
            </w:pPr>
            <w:r>
              <w:rPr>
                <w:rFonts w:ascii="Times New Roman" w:cs="Times New Roman" w:hAnsi="Times New Roman"/>
                <w:bCs/>
                <w:sz w:val="24"/>
                <w:szCs w:val="24"/>
              </w:rPr>
              <w:t>Оператор линии (1 смена)</w:t>
            </w:r>
          </w:p>
        </w:tc>
        <w:tc>
          <w:tcPr>
            <w:cnfStyle w:val="000000100000"/>
            <w:tcW w:w="1014" w:type="dxa"/>
          </w:tcPr>
          <w:p w14:paraId="00000372">
            <w:pPr>
              <w:jc w:val="center"/>
              <w:rPr>
                <w:rFonts w:ascii="Times New Roman" w:cs="Times New Roman" w:hAnsi="Times New Roman"/>
                <w:bCs/>
                <w:sz w:val="24"/>
                <w:szCs w:val="24"/>
              </w:rPr>
            </w:pPr>
            <w:r>
              <w:rPr>
                <w:rFonts w:ascii="Times New Roman" w:cs="Times New Roman" w:hAnsi="Times New Roman"/>
                <w:bCs/>
                <w:sz w:val="24"/>
                <w:szCs w:val="24"/>
              </w:rPr>
              <w:t>2</w:t>
            </w:r>
          </w:p>
        </w:tc>
        <w:tc>
          <w:tcPr>
            <w:cnfStyle w:val="000000100000"/>
            <w:tcW w:w="2006" w:type="dxa"/>
          </w:tcPr>
          <w:p w14:paraId="00000373">
            <w:pPr>
              <w:jc w:val="center"/>
              <w:rPr>
                <w:rFonts w:ascii="Times New Roman" w:cs="Times New Roman" w:hAnsi="Times New Roman"/>
                <w:bCs/>
                <w:sz w:val="24"/>
                <w:szCs w:val="24"/>
              </w:rPr>
            </w:pPr>
            <w:r>
              <w:rPr>
                <w:rFonts w:ascii="Times New Roman" w:cs="Times New Roman" w:hAnsi="Times New Roman"/>
                <w:bCs/>
                <w:sz w:val="24"/>
                <w:szCs w:val="24"/>
              </w:rPr>
              <w:t>Сдельная</w:t>
            </w:r>
          </w:p>
        </w:tc>
        <w:tc>
          <w:tcPr>
            <w:cnfStyle w:val="000000100000"/>
            <w:tcW w:w="1953" w:type="dxa"/>
          </w:tcPr>
          <w:p w14:paraId="00000374">
            <w:pPr>
              <w:jc w:val="center"/>
              <w:rPr>
                <w:rFonts w:ascii="Times New Roman" w:cs="Times New Roman" w:hAnsi="Times New Roman"/>
                <w:bCs/>
                <w:sz w:val="24"/>
                <w:szCs w:val="24"/>
              </w:rPr>
            </w:pPr>
            <w:r>
              <w:rPr>
                <w:rFonts w:ascii="Times New Roman" w:cs="Times New Roman" w:hAnsi="Times New Roman"/>
                <w:bCs/>
                <w:sz w:val="24"/>
                <w:szCs w:val="24"/>
              </w:rPr>
              <w:t>40</w:t>
            </w:r>
          </w:p>
        </w:tc>
        <w:tc>
          <w:tcPr>
            <w:cnfStyle w:val="000000100000"/>
            <w:tcW w:w="1867" w:type="dxa"/>
          </w:tcPr>
          <w:p w14:paraId="00000375">
            <w:pPr>
              <w:jc w:val="center"/>
              <w:rPr>
                <w:rFonts w:ascii="Times New Roman" w:cs="Times New Roman" w:hAnsi="Times New Roman"/>
                <w:bCs/>
                <w:sz w:val="24"/>
                <w:szCs w:val="24"/>
              </w:rPr>
            </w:pPr>
            <w:r>
              <w:rPr>
                <w:rFonts w:ascii="Times New Roman" w:cs="Times New Roman" w:hAnsi="Times New Roman"/>
                <w:bCs/>
                <w:sz w:val="24"/>
                <w:szCs w:val="24"/>
              </w:rPr>
              <w:t>80</w:t>
            </w:r>
          </w:p>
        </w:tc>
      </w:tr>
      <w:tr>
        <w:trPr/>
        <w:tc>
          <w:tcPr>
            <w:cnfStyle w:val="001000010000"/>
            <w:tcW w:w="2509" w:type="dxa"/>
          </w:tcPr>
          <w:p w14:paraId="00000376">
            <w:pPr>
              <w:jc w:val="both"/>
              <w:rPr>
                <w:rFonts w:ascii="Times New Roman" w:cs="Times New Roman" w:hAnsi="Times New Roman"/>
                <w:bCs/>
                <w:sz w:val="24"/>
                <w:szCs w:val="24"/>
              </w:rPr>
            </w:pPr>
            <w:r>
              <w:rPr>
                <w:rFonts w:ascii="Times New Roman" w:cs="Times New Roman" w:hAnsi="Times New Roman"/>
                <w:bCs/>
                <w:sz w:val="24"/>
                <w:szCs w:val="24"/>
              </w:rPr>
              <w:t>Оператор линии (2 смена)</w:t>
            </w:r>
          </w:p>
        </w:tc>
        <w:tc>
          <w:tcPr>
            <w:cnfStyle w:val="000000010000"/>
            <w:tcW w:w="1014" w:type="dxa"/>
          </w:tcPr>
          <w:p w14:paraId="00000377">
            <w:pPr>
              <w:jc w:val="center"/>
              <w:rPr>
                <w:rFonts w:ascii="Times New Roman" w:cs="Times New Roman" w:hAnsi="Times New Roman"/>
                <w:bCs/>
                <w:sz w:val="24"/>
                <w:szCs w:val="24"/>
              </w:rPr>
            </w:pPr>
            <w:r>
              <w:rPr>
                <w:rFonts w:ascii="Times New Roman" w:cs="Times New Roman" w:hAnsi="Times New Roman"/>
                <w:bCs/>
                <w:sz w:val="24"/>
                <w:szCs w:val="24"/>
              </w:rPr>
              <w:t>2</w:t>
            </w:r>
          </w:p>
        </w:tc>
        <w:tc>
          <w:tcPr>
            <w:cnfStyle w:val="000000010000"/>
            <w:tcW w:w="2006" w:type="dxa"/>
          </w:tcPr>
          <w:p w14:paraId="00000378">
            <w:pPr>
              <w:jc w:val="center"/>
              <w:rPr>
                <w:rFonts w:ascii="Times New Roman" w:cs="Times New Roman" w:hAnsi="Times New Roman"/>
                <w:bCs/>
                <w:sz w:val="24"/>
                <w:szCs w:val="24"/>
              </w:rPr>
            </w:pPr>
            <w:r>
              <w:rPr>
                <w:rFonts w:ascii="Times New Roman" w:cs="Times New Roman" w:hAnsi="Times New Roman"/>
                <w:bCs/>
                <w:sz w:val="24"/>
                <w:szCs w:val="24"/>
              </w:rPr>
              <w:t>Сдельная</w:t>
            </w:r>
          </w:p>
        </w:tc>
        <w:tc>
          <w:tcPr>
            <w:cnfStyle w:val="000000010000"/>
            <w:tcW w:w="1953" w:type="dxa"/>
          </w:tcPr>
          <w:p w14:paraId="00000379">
            <w:pPr>
              <w:jc w:val="center"/>
              <w:rPr>
                <w:rFonts w:ascii="Times New Roman" w:cs="Times New Roman" w:hAnsi="Times New Roman"/>
                <w:bCs/>
                <w:sz w:val="24"/>
                <w:szCs w:val="24"/>
              </w:rPr>
            </w:pPr>
            <w:r>
              <w:rPr>
                <w:rFonts w:ascii="Times New Roman" w:cs="Times New Roman" w:hAnsi="Times New Roman"/>
                <w:bCs/>
                <w:sz w:val="24"/>
                <w:szCs w:val="24"/>
              </w:rPr>
              <w:t>40</w:t>
            </w:r>
          </w:p>
        </w:tc>
        <w:tc>
          <w:tcPr>
            <w:cnfStyle w:val="000000010000"/>
            <w:tcW w:w="1867" w:type="dxa"/>
          </w:tcPr>
          <w:p w14:paraId="0000037A">
            <w:pPr>
              <w:jc w:val="center"/>
              <w:rPr>
                <w:rFonts w:ascii="Times New Roman" w:cs="Times New Roman" w:hAnsi="Times New Roman"/>
                <w:bCs/>
                <w:sz w:val="24"/>
                <w:szCs w:val="24"/>
              </w:rPr>
            </w:pPr>
            <w:r>
              <w:rPr>
                <w:rFonts w:ascii="Times New Roman" w:cs="Times New Roman" w:hAnsi="Times New Roman"/>
                <w:bCs/>
                <w:sz w:val="24"/>
                <w:szCs w:val="24"/>
              </w:rPr>
              <w:t>80</w:t>
            </w:r>
          </w:p>
        </w:tc>
      </w:tr>
      <w:tr>
        <w:trPr/>
        <w:tc>
          <w:tcPr>
            <w:cnfStyle w:val="001000100000"/>
            <w:tcW w:w="2509" w:type="dxa"/>
          </w:tcPr>
          <w:p w14:paraId="0000037B">
            <w:pPr>
              <w:jc w:val="both"/>
              <w:rPr>
                <w:rFonts w:ascii="Times New Roman" w:cs="Times New Roman" w:hAnsi="Times New Roman"/>
                <w:bCs/>
                <w:sz w:val="24"/>
                <w:szCs w:val="24"/>
              </w:rPr>
            </w:pPr>
            <w:r>
              <w:rPr>
                <w:rFonts w:ascii="Times New Roman" w:cs="Times New Roman" w:hAnsi="Times New Roman"/>
                <w:bCs/>
                <w:sz w:val="24"/>
                <w:szCs w:val="24"/>
              </w:rPr>
              <w:t>Формовщик</w:t>
            </w:r>
          </w:p>
        </w:tc>
        <w:tc>
          <w:tcPr>
            <w:cnfStyle w:val="000000100000"/>
            <w:tcW w:w="1014" w:type="dxa"/>
          </w:tcPr>
          <w:p w14:paraId="0000037C">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100000"/>
            <w:tcW w:w="2006" w:type="dxa"/>
          </w:tcPr>
          <w:p w14:paraId="0000037D">
            <w:pPr>
              <w:jc w:val="center"/>
              <w:rPr>
                <w:rFonts w:ascii="Times New Roman" w:cs="Times New Roman" w:hAnsi="Times New Roman"/>
                <w:bCs/>
                <w:sz w:val="24"/>
                <w:szCs w:val="24"/>
              </w:rPr>
            </w:pPr>
            <w:r>
              <w:rPr>
                <w:rFonts w:ascii="Times New Roman" w:cs="Times New Roman" w:hAnsi="Times New Roman"/>
                <w:bCs/>
                <w:sz w:val="24"/>
                <w:szCs w:val="24"/>
              </w:rPr>
              <w:t>Сдельная</w:t>
            </w:r>
          </w:p>
        </w:tc>
        <w:tc>
          <w:tcPr>
            <w:cnfStyle w:val="000000100000"/>
            <w:tcW w:w="1953" w:type="dxa"/>
          </w:tcPr>
          <w:p w14:paraId="0000037E">
            <w:pPr>
              <w:jc w:val="center"/>
              <w:rPr>
                <w:rFonts w:ascii="Times New Roman" w:cs="Times New Roman" w:hAnsi="Times New Roman"/>
                <w:bCs/>
                <w:sz w:val="24"/>
                <w:szCs w:val="24"/>
              </w:rPr>
            </w:pPr>
            <w:r>
              <w:rPr>
                <w:rFonts w:ascii="Times New Roman" w:cs="Times New Roman" w:hAnsi="Times New Roman"/>
                <w:bCs/>
                <w:sz w:val="24"/>
                <w:szCs w:val="24"/>
              </w:rPr>
              <w:t>35</w:t>
            </w:r>
          </w:p>
        </w:tc>
        <w:tc>
          <w:tcPr>
            <w:cnfStyle w:val="000000100000"/>
            <w:tcW w:w="1867" w:type="dxa"/>
          </w:tcPr>
          <w:p w14:paraId="0000037F">
            <w:pPr>
              <w:jc w:val="center"/>
              <w:rPr>
                <w:rFonts w:ascii="Times New Roman" w:cs="Times New Roman" w:hAnsi="Times New Roman"/>
                <w:bCs/>
                <w:sz w:val="24"/>
                <w:szCs w:val="24"/>
              </w:rPr>
            </w:pPr>
            <w:r>
              <w:rPr>
                <w:rFonts w:ascii="Times New Roman" w:cs="Times New Roman" w:hAnsi="Times New Roman"/>
                <w:bCs/>
                <w:sz w:val="24"/>
                <w:szCs w:val="24"/>
              </w:rPr>
              <w:t>35</w:t>
            </w:r>
          </w:p>
        </w:tc>
      </w:tr>
      <w:tr>
        <w:trPr/>
        <w:tc>
          <w:tcPr>
            <w:cnfStyle w:val="001000010000"/>
            <w:tcW w:w="2509" w:type="dxa"/>
          </w:tcPr>
          <w:p w14:paraId="00000380">
            <w:pPr>
              <w:jc w:val="both"/>
              <w:rPr>
                <w:rFonts w:ascii="Times New Roman" w:cs="Times New Roman" w:hAnsi="Times New Roman"/>
                <w:bCs/>
                <w:sz w:val="24"/>
                <w:szCs w:val="24"/>
              </w:rPr>
            </w:pPr>
            <w:r>
              <w:rPr>
                <w:rFonts w:ascii="Times New Roman" w:cs="Times New Roman" w:hAnsi="Times New Roman"/>
                <w:bCs/>
                <w:sz w:val="24"/>
                <w:szCs w:val="24"/>
              </w:rPr>
              <w:t>Заведующий складом</w:t>
            </w:r>
          </w:p>
        </w:tc>
        <w:tc>
          <w:tcPr>
            <w:cnfStyle w:val="000000010000"/>
            <w:tcW w:w="1014" w:type="dxa"/>
          </w:tcPr>
          <w:p w14:paraId="00000381">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010000"/>
            <w:tcW w:w="2006" w:type="dxa"/>
          </w:tcPr>
          <w:p w14:paraId="00000382">
            <w:pPr>
              <w:jc w:val="center"/>
              <w:rPr>
                <w:rFonts w:ascii="Times New Roman" w:cs="Times New Roman" w:hAnsi="Times New Roman"/>
                <w:bCs/>
                <w:sz w:val="24"/>
                <w:szCs w:val="24"/>
              </w:rPr>
            </w:pPr>
            <w:r>
              <w:rPr>
                <w:rFonts w:ascii="Times New Roman" w:cs="Times New Roman" w:hAnsi="Times New Roman"/>
                <w:bCs/>
                <w:sz w:val="24"/>
                <w:szCs w:val="24"/>
              </w:rPr>
              <w:t>Оклад + премия</w:t>
            </w:r>
          </w:p>
        </w:tc>
        <w:tc>
          <w:tcPr>
            <w:cnfStyle w:val="000000010000"/>
            <w:tcW w:w="1953" w:type="dxa"/>
          </w:tcPr>
          <w:p w14:paraId="00000383">
            <w:pPr>
              <w:jc w:val="center"/>
              <w:rPr>
                <w:rFonts w:ascii="Times New Roman" w:cs="Times New Roman" w:hAnsi="Times New Roman"/>
                <w:bCs/>
                <w:sz w:val="24"/>
                <w:szCs w:val="24"/>
              </w:rPr>
            </w:pPr>
            <w:r>
              <w:rPr>
                <w:rFonts w:ascii="Times New Roman" w:cs="Times New Roman" w:hAnsi="Times New Roman"/>
                <w:bCs/>
                <w:sz w:val="24"/>
                <w:szCs w:val="24"/>
              </w:rPr>
              <w:t>35</w:t>
            </w:r>
          </w:p>
        </w:tc>
        <w:tc>
          <w:tcPr>
            <w:cnfStyle w:val="000000010000"/>
            <w:tcW w:w="1867" w:type="dxa"/>
          </w:tcPr>
          <w:p w14:paraId="00000384">
            <w:pPr>
              <w:jc w:val="center"/>
              <w:rPr>
                <w:rFonts w:ascii="Times New Roman" w:cs="Times New Roman" w:hAnsi="Times New Roman"/>
                <w:bCs/>
                <w:sz w:val="24"/>
                <w:szCs w:val="24"/>
              </w:rPr>
            </w:pPr>
            <w:r>
              <w:rPr>
                <w:rFonts w:ascii="Times New Roman" w:cs="Times New Roman" w:hAnsi="Times New Roman"/>
                <w:bCs/>
                <w:sz w:val="24"/>
                <w:szCs w:val="24"/>
              </w:rPr>
              <w:t>35</w:t>
            </w:r>
          </w:p>
        </w:tc>
      </w:tr>
      <w:tr>
        <w:trPr/>
        <w:tc>
          <w:tcPr>
            <w:cnfStyle w:val="001000100000"/>
            <w:tcW w:w="2509" w:type="dxa"/>
          </w:tcPr>
          <w:p w14:paraId="00000385">
            <w:pPr>
              <w:jc w:val="both"/>
              <w:rPr>
                <w:rFonts w:ascii="Times New Roman" w:cs="Times New Roman" w:hAnsi="Times New Roman"/>
                <w:bCs/>
                <w:sz w:val="24"/>
                <w:szCs w:val="24"/>
              </w:rPr>
            </w:pPr>
            <w:r>
              <w:rPr>
                <w:rFonts w:ascii="Times New Roman" w:cs="Times New Roman" w:hAnsi="Times New Roman"/>
                <w:bCs/>
                <w:sz w:val="24"/>
                <w:szCs w:val="24"/>
              </w:rPr>
              <w:t>Разнорабочий (1 смена)</w:t>
            </w:r>
          </w:p>
        </w:tc>
        <w:tc>
          <w:tcPr>
            <w:cnfStyle w:val="000000100000"/>
            <w:tcW w:w="1014" w:type="dxa"/>
          </w:tcPr>
          <w:p w14:paraId="00000386">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100000"/>
            <w:tcW w:w="2006" w:type="dxa"/>
          </w:tcPr>
          <w:p w14:paraId="00000387">
            <w:pPr>
              <w:jc w:val="center"/>
              <w:rPr>
                <w:rFonts w:ascii="Times New Roman" w:cs="Times New Roman" w:hAnsi="Times New Roman"/>
                <w:bCs/>
                <w:sz w:val="24"/>
                <w:szCs w:val="24"/>
              </w:rPr>
            </w:pPr>
            <w:r>
              <w:rPr>
                <w:rFonts w:ascii="Times New Roman" w:cs="Times New Roman" w:hAnsi="Times New Roman"/>
                <w:bCs/>
                <w:sz w:val="24"/>
                <w:szCs w:val="24"/>
              </w:rPr>
              <w:t>Сдельная</w:t>
            </w:r>
          </w:p>
        </w:tc>
        <w:tc>
          <w:tcPr>
            <w:cnfStyle w:val="000000100000"/>
            <w:tcW w:w="1953" w:type="dxa"/>
          </w:tcPr>
          <w:p w14:paraId="00000388">
            <w:pPr>
              <w:jc w:val="center"/>
              <w:rPr>
                <w:rFonts w:ascii="Times New Roman" w:cs="Times New Roman" w:hAnsi="Times New Roman"/>
                <w:bCs/>
                <w:sz w:val="24"/>
                <w:szCs w:val="24"/>
              </w:rPr>
            </w:pPr>
            <w:r>
              <w:rPr>
                <w:rFonts w:ascii="Times New Roman" w:cs="Times New Roman" w:hAnsi="Times New Roman"/>
                <w:bCs/>
                <w:sz w:val="24"/>
                <w:szCs w:val="24"/>
              </w:rPr>
              <w:t>30</w:t>
            </w:r>
          </w:p>
        </w:tc>
        <w:tc>
          <w:tcPr>
            <w:cnfStyle w:val="000000100000"/>
            <w:tcW w:w="1867" w:type="dxa"/>
          </w:tcPr>
          <w:p w14:paraId="00000389">
            <w:pPr>
              <w:jc w:val="center"/>
              <w:rPr>
                <w:rFonts w:ascii="Times New Roman" w:cs="Times New Roman" w:hAnsi="Times New Roman"/>
                <w:bCs/>
                <w:sz w:val="24"/>
                <w:szCs w:val="24"/>
              </w:rPr>
            </w:pPr>
            <w:r>
              <w:rPr>
                <w:rFonts w:ascii="Times New Roman" w:cs="Times New Roman" w:hAnsi="Times New Roman"/>
                <w:bCs/>
                <w:sz w:val="24"/>
                <w:szCs w:val="24"/>
              </w:rPr>
              <w:t>30</w:t>
            </w:r>
          </w:p>
        </w:tc>
      </w:tr>
      <w:tr>
        <w:trPr/>
        <w:tc>
          <w:tcPr>
            <w:cnfStyle w:val="001000010000"/>
            <w:tcW w:w="2509" w:type="dxa"/>
          </w:tcPr>
          <w:p w14:paraId="0000038A">
            <w:pPr>
              <w:jc w:val="both"/>
              <w:rPr>
                <w:rFonts w:ascii="Times New Roman" w:cs="Times New Roman" w:hAnsi="Times New Roman"/>
                <w:bCs/>
                <w:sz w:val="24"/>
                <w:szCs w:val="24"/>
              </w:rPr>
            </w:pPr>
            <w:r>
              <w:rPr>
                <w:rFonts w:ascii="Times New Roman" w:cs="Times New Roman" w:hAnsi="Times New Roman"/>
                <w:bCs/>
                <w:sz w:val="24"/>
                <w:szCs w:val="24"/>
              </w:rPr>
              <w:t>Разнорабочий (2 смена)</w:t>
            </w:r>
          </w:p>
        </w:tc>
        <w:tc>
          <w:tcPr>
            <w:cnfStyle w:val="000000010000"/>
            <w:tcW w:w="1014" w:type="dxa"/>
          </w:tcPr>
          <w:p w14:paraId="0000038B">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010000"/>
            <w:tcW w:w="2006" w:type="dxa"/>
          </w:tcPr>
          <w:p w14:paraId="0000038C">
            <w:pPr>
              <w:jc w:val="center"/>
              <w:rPr>
                <w:rFonts w:ascii="Times New Roman" w:cs="Times New Roman" w:hAnsi="Times New Roman"/>
                <w:bCs/>
                <w:sz w:val="24"/>
                <w:szCs w:val="24"/>
              </w:rPr>
            </w:pPr>
            <w:r>
              <w:rPr>
                <w:rFonts w:ascii="Times New Roman" w:cs="Times New Roman" w:hAnsi="Times New Roman"/>
                <w:bCs/>
                <w:sz w:val="24"/>
                <w:szCs w:val="24"/>
              </w:rPr>
              <w:t>Сдельная</w:t>
            </w:r>
          </w:p>
        </w:tc>
        <w:tc>
          <w:tcPr>
            <w:cnfStyle w:val="000000010000"/>
            <w:tcW w:w="1953" w:type="dxa"/>
          </w:tcPr>
          <w:p w14:paraId="0000038D">
            <w:pPr>
              <w:jc w:val="center"/>
              <w:rPr>
                <w:rFonts w:ascii="Times New Roman" w:cs="Times New Roman" w:hAnsi="Times New Roman"/>
                <w:bCs/>
                <w:sz w:val="24"/>
                <w:szCs w:val="24"/>
              </w:rPr>
            </w:pPr>
            <w:r>
              <w:rPr>
                <w:rFonts w:ascii="Times New Roman" w:cs="Times New Roman" w:hAnsi="Times New Roman"/>
                <w:bCs/>
                <w:sz w:val="24"/>
                <w:szCs w:val="24"/>
              </w:rPr>
              <w:t>30</w:t>
            </w:r>
          </w:p>
        </w:tc>
        <w:tc>
          <w:tcPr>
            <w:cnfStyle w:val="000000010000"/>
            <w:tcW w:w="1867" w:type="dxa"/>
          </w:tcPr>
          <w:p w14:paraId="0000038E">
            <w:pPr>
              <w:jc w:val="center"/>
              <w:rPr>
                <w:rFonts w:ascii="Times New Roman" w:cs="Times New Roman" w:hAnsi="Times New Roman"/>
                <w:bCs/>
                <w:sz w:val="24"/>
                <w:szCs w:val="24"/>
              </w:rPr>
            </w:pPr>
            <w:r>
              <w:rPr>
                <w:rFonts w:ascii="Times New Roman" w:cs="Times New Roman" w:hAnsi="Times New Roman"/>
                <w:bCs/>
                <w:sz w:val="24"/>
                <w:szCs w:val="24"/>
              </w:rPr>
              <w:t>30</w:t>
            </w:r>
          </w:p>
        </w:tc>
      </w:tr>
      <w:tr>
        <w:trPr/>
        <w:tc>
          <w:tcPr>
            <w:cnfStyle w:val="001000100000"/>
            <w:tcW w:w="2509" w:type="dxa"/>
          </w:tcPr>
          <w:p w14:paraId="0000038F">
            <w:pPr>
              <w:jc w:val="both"/>
              <w:rPr>
                <w:rFonts w:ascii="Times New Roman" w:cs="Times New Roman" w:hAnsi="Times New Roman"/>
                <w:bCs/>
                <w:sz w:val="24"/>
                <w:szCs w:val="24"/>
              </w:rPr>
            </w:pPr>
            <w:r>
              <w:rPr>
                <w:rFonts w:ascii="Times New Roman" w:cs="Times New Roman" w:hAnsi="Times New Roman"/>
                <w:bCs/>
                <w:sz w:val="24"/>
                <w:szCs w:val="24"/>
              </w:rPr>
              <w:t>Слесарь-ремонтник</w:t>
            </w:r>
          </w:p>
        </w:tc>
        <w:tc>
          <w:tcPr>
            <w:cnfStyle w:val="000000100000"/>
            <w:tcW w:w="1014" w:type="dxa"/>
          </w:tcPr>
          <w:p w14:paraId="00000390">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100000"/>
            <w:tcW w:w="2006" w:type="dxa"/>
          </w:tcPr>
          <w:p w14:paraId="00000391">
            <w:pPr>
              <w:jc w:val="center"/>
              <w:rPr>
                <w:rFonts w:ascii="Times New Roman" w:cs="Times New Roman" w:hAnsi="Times New Roman"/>
                <w:bCs/>
                <w:sz w:val="24"/>
                <w:szCs w:val="24"/>
              </w:rPr>
            </w:pPr>
            <w:r>
              <w:rPr>
                <w:rFonts w:ascii="Times New Roman" w:cs="Times New Roman" w:hAnsi="Times New Roman"/>
                <w:bCs/>
                <w:sz w:val="24"/>
                <w:szCs w:val="24"/>
              </w:rPr>
              <w:t>Оклад</w:t>
            </w:r>
          </w:p>
        </w:tc>
        <w:tc>
          <w:tcPr>
            <w:cnfStyle w:val="000000100000"/>
            <w:tcW w:w="1953" w:type="dxa"/>
          </w:tcPr>
          <w:p w14:paraId="00000392">
            <w:pPr>
              <w:jc w:val="center"/>
              <w:rPr>
                <w:rFonts w:ascii="Times New Roman" w:cs="Times New Roman" w:hAnsi="Times New Roman"/>
                <w:bCs/>
                <w:sz w:val="24"/>
                <w:szCs w:val="24"/>
              </w:rPr>
            </w:pPr>
            <w:r>
              <w:rPr>
                <w:rFonts w:ascii="Times New Roman" w:cs="Times New Roman" w:hAnsi="Times New Roman"/>
                <w:bCs/>
                <w:sz w:val="24"/>
                <w:szCs w:val="24"/>
              </w:rPr>
              <w:t>40</w:t>
            </w:r>
          </w:p>
        </w:tc>
        <w:tc>
          <w:tcPr>
            <w:cnfStyle w:val="000000100000"/>
            <w:tcW w:w="1867" w:type="dxa"/>
          </w:tcPr>
          <w:p w14:paraId="00000393">
            <w:pPr>
              <w:jc w:val="center"/>
              <w:rPr>
                <w:rFonts w:ascii="Times New Roman" w:cs="Times New Roman" w:hAnsi="Times New Roman"/>
                <w:bCs/>
                <w:sz w:val="24"/>
                <w:szCs w:val="24"/>
              </w:rPr>
            </w:pPr>
            <w:r>
              <w:rPr>
                <w:rFonts w:ascii="Times New Roman" w:cs="Times New Roman" w:hAnsi="Times New Roman"/>
                <w:bCs/>
                <w:sz w:val="24"/>
                <w:szCs w:val="24"/>
              </w:rPr>
              <w:t>40</w:t>
            </w:r>
          </w:p>
        </w:tc>
      </w:tr>
      <w:tr>
        <w:trPr/>
        <w:tc>
          <w:tcPr>
            <w:cnfStyle w:val="001000010000"/>
            <w:tcW w:w="2509" w:type="dxa"/>
          </w:tcPr>
          <w:p w14:paraId="00000394">
            <w:pPr>
              <w:jc w:val="both"/>
              <w:rPr>
                <w:rFonts w:ascii="Times New Roman" w:cs="Times New Roman" w:hAnsi="Times New Roman"/>
                <w:bCs/>
                <w:sz w:val="24"/>
                <w:szCs w:val="24"/>
              </w:rPr>
            </w:pPr>
            <w:r>
              <w:rPr>
                <w:rFonts w:ascii="Times New Roman" w:cs="Times New Roman" w:hAnsi="Times New Roman"/>
                <w:bCs/>
                <w:sz w:val="24"/>
                <w:szCs w:val="24"/>
              </w:rPr>
              <w:t>Водитель погрузчика</w:t>
            </w:r>
          </w:p>
        </w:tc>
        <w:tc>
          <w:tcPr>
            <w:cnfStyle w:val="000000010000"/>
            <w:tcW w:w="1014" w:type="dxa"/>
          </w:tcPr>
          <w:p w14:paraId="00000395">
            <w:pPr>
              <w:jc w:val="center"/>
              <w:rPr>
                <w:rFonts w:ascii="Times New Roman" w:cs="Times New Roman" w:hAnsi="Times New Roman"/>
                <w:bCs/>
                <w:sz w:val="24"/>
                <w:szCs w:val="24"/>
              </w:rPr>
            </w:pPr>
            <w:r>
              <w:rPr>
                <w:rFonts w:ascii="Times New Roman" w:cs="Times New Roman" w:hAnsi="Times New Roman"/>
                <w:bCs/>
                <w:sz w:val="24"/>
                <w:szCs w:val="24"/>
              </w:rPr>
              <w:t>1</w:t>
            </w:r>
          </w:p>
        </w:tc>
        <w:tc>
          <w:tcPr>
            <w:cnfStyle w:val="000000010000"/>
            <w:tcW w:w="2006" w:type="dxa"/>
          </w:tcPr>
          <w:p w14:paraId="00000396">
            <w:pPr>
              <w:jc w:val="center"/>
              <w:rPr>
                <w:rFonts w:ascii="Times New Roman" w:cs="Times New Roman" w:hAnsi="Times New Roman"/>
                <w:bCs/>
                <w:sz w:val="24"/>
                <w:szCs w:val="24"/>
              </w:rPr>
            </w:pPr>
            <w:r>
              <w:rPr>
                <w:rFonts w:ascii="Times New Roman" w:cs="Times New Roman" w:hAnsi="Times New Roman"/>
                <w:bCs/>
                <w:sz w:val="24"/>
                <w:szCs w:val="24"/>
              </w:rPr>
              <w:t>Сдельная</w:t>
            </w:r>
          </w:p>
        </w:tc>
        <w:tc>
          <w:tcPr>
            <w:cnfStyle w:val="000000010000"/>
            <w:tcW w:w="1953" w:type="dxa"/>
          </w:tcPr>
          <w:p w14:paraId="00000397">
            <w:pPr>
              <w:jc w:val="center"/>
              <w:rPr>
                <w:rFonts w:ascii="Times New Roman" w:cs="Times New Roman" w:hAnsi="Times New Roman"/>
                <w:bCs/>
                <w:sz w:val="24"/>
                <w:szCs w:val="24"/>
              </w:rPr>
            </w:pPr>
            <w:r>
              <w:rPr>
                <w:rFonts w:ascii="Times New Roman" w:cs="Times New Roman" w:hAnsi="Times New Roman"/>
                <w:bCs/>
                <w:sz w:val="24"/>
                <w:szCs w:val="24"/>
              </w:rPr>
              <w:t>40</w:t>
            </w:r>
          </w:p>
        </w:tc>
        <w:tc>
          <w:tcPr>
            <w:cnfStyle w:val="000000010000"/>
            <w:tcW w:w="1867" w:type="dxa"/>
          </w:tcPr>
          <w:p w14:paraId="00000398">
            <w:pPr>
              <w:jc w:val="center"/>
              <w:rPr>
                <w:rFonts w:ascii="Times New Roman" w:cs="Times New Roman" w:hAnsi="Times New Roman"/>
                <w:bCs/>
                <w:sz w:val="24"/>
                <w:szCs w:val="24"/>
              </w:rPr>
            </w:pPr>
            <w:r>
              <w:rPr>
                <w:rFonts w:ascii="Times New Roman" w:cs="Times New Roman" w:hAnsi="Times New Roman"/>
                <w:bCs/>
                <w:sz w:val="24"/>
                <w:szCs w:val="24"/>
              </w:rPr>
              <w:t>40</w:t>
            </w:r>
          </w:p>
        </w:tc>
      </w:tr>
      <w:tr>
        <w:trPr/>
        <w:tc>
          <w:tcPr>
            <w:cnfStyle w:val="001000100000"/>
            <w:tcW w:w="2509" w:type="dxa"/>
          </w:tcPr>
          <w:p w14:paraId="00000399">
            <w:pPr>
              <w:jc w:val="both"/>
              <w:rPr>
                <w:rFonts w:ascii="Times New Roman" w:cs="Times New Roman" w:hAnsi="Times New Roman"/>
                <w:bCs/>
                <w:sz w:val="24"/>
                <w:szCs w:val="24"/>
              </w:rPr>
            </w:pPr>
            <w:r>
              <w:rPr>
                <w:rFonts w:ascii="Times New Roman" w:cs="Times New Roman" w:hAnsi="Times New Roman"/>
                <w:bCs/>
                <w:sz w:val="24"/>
                <w:szCs w:val="24"/>
              </w:rPr>
              <w:t>Итого</w:t>
            </w:r>
          </w:p>
        </w:tc>
        <w:tc>
          <w:tcPr>
            <w:cnfStyle w:val="000000100000"/>
            <w:tcW w:w="1014" w:type="dxa"/>
          </w:tcPr>
          <w:p w14:paraId="0000039A">
            <w:pPr>
              <w:jc w:val="center"/>
              <w:rPr>
                <w:rFonts w:ascii="Times New Roman" w:cs="Times New Roman" w:hAnsi="Times New Roman"/>
                <w:bCs/>
                <w:sz w:val="24"/>
                <w:szCs w:val="24"/>
              </w:rPr>
            </w:pPr>
            <w:r>
              <w:rPr>
                <w:rFonts w:ascii="Times New Roman" w:cs="Times New Roman" w:hAnsi="Times New Roman"/>
                <w:bCs/>
                <w:sz w:val="24"/>
                <w:szCs w:val="24"/>
              </w:rPr>
              <w:t>17</w:t>
            </w:r>
          </w:p>
        </w:tc>
        <w:tc>
          <w:tcPr>
            <w:cnfStyle w:val="000000100000"/>
            <w:tcW w:w="2006" w:type="dxa"/>
          </w:tcPr>
          <w:p w14:paraId="0000039B">
            <w:pPr>
              <w:jc w:val="center"/>
              <w:rPr>
                <w:rFonts w:ascii="Times New Roman" w:cs="Times New Roman" w:hAnsi="Times New Roman"/>
                <w:bCs/>
                <w:sz w:val="24"/>
                <w:szCs w:val="24"/>
              </w:rPr>
            </w:pPr>
          </w:p>
        </w:tc>
        <w:tc>
          <w:tcPr>
            <w:cnfStyle w:val="000000100000"/>
            <w:tcW w:w="1953" w:type="dxa"/>
          </w:tcPr>
          <w:p w14:paraId="0000039C">
            <w:pPr>
              <w:jc w:val="center"/>
              <w:rPr>
                <w:rFonts w:ascii="Times New Roman" w:cs="Times New Roman" w:hAnsi="Times New Roman"/>
                <w:bCs/>
                <w:sz w:val="24"/>
                <w:szCs w:val="24"/>
              </w:rPr>
            </w:pPr>
          </w:p>
        </w:tc>
        <w:tc>
          <w:tcPr>
            <w:cnfStyle w:val="000000100000"/>
            <w:tcW w:w="1867" w:type="dxa"/>
          </w:tcPr>
          <w:p w14:paraId="0000039D">
            <w:pPr>
              <w:jc w:val="center"/>
              <w:rPr>
                <w:rFonts w:ascii="Times New Roman" w:cs="Times New Roman" w:hAnsi="Times New Roman"/>
                <w:bCs/>
                <w:sz w:val="24"/>
                <w:szCs w:val="24"/>
              </w:rPr>
            </w:pPr>
            <w:r>
              <w:rPr>
                <w:rFonts w:ascii="Times New Roman" w:cs="Times New Roman" w:hAnsi="Times New Roman"/>
                <w:bCs/>
                <w:sz w:val="24"/>
                <w:szCs w:val="24"/>
              </w:rPr>
              <w:t>760</w:t>
            </w:r>
          </w:p>
        </w:tc>
      </w:tr>
    </w:tbl>
    <w:p w14:paraId="0000039E">
      <w:pPr>
        <w:spacing w:beforeAutospacing="0" w:after="0" w:afterAutospacing="0" w:line="360" w:lineRule="auto"/>
        <w:ind w:firstLine="709"/>
        <w:jc w:val="both"/>
        <w:rPr>
          <w:rFonts w:ascii="Times New Roman" w:cs="Times New Roman" w:hAnsi="Times New Roman"/>
          <w:bCs/>
          <w:sz w:val="28"/>
          <w:szCs w:val="28"/>
        </w:rPr>
      </w:pPr>
    </w:p>
    <w:p w14:paraId="0000039F">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Для чёткого распределения ответственности необходимо определить функциональные обязанности каждого сотрудника.</w:t>
      </w:r>
    </w:p>
    <w:p w14:paraId="000003A0">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Генеральный директор – разрабатывает стратегию, утверждает бизнес-план, контролирует финансовые потоки, ведёт переговоры с инвесторами и крупными заказчиками, представляет предприятие во внешних отношениях.</w:t>
      </w:r>
    </w:p>
    <w:p w14:paraId="000003A1">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Производственный менеджер – составляет производственный план-график, обеспечивает выполнение сменных заданий, контролирует соблюдение технологии, организует ремонт оборудования, отвечает за охрану труда и технику безопасности в цехе.</w:t>
      </w:r>
    </w:p>
    <w:p w14:paraId="000003A2">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Коммерческий директор – анализирует рынок, разрабатывает ценовую политику, ищет клиентов, заключает договоры, контролирует дебиторскую задолженность, организует закупку сырья.</w:t>
      </w:r>
    </w:p>
    <w:p w14:paraId="000003A3">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Технолог – подбирает рецептуру смеси (соотношение цемента, отсевов, воды, добавок), проводит пробные замесы, контролирует качество готовой продукции (прочность, водопоглощение, геометрию), оформляет декларации соответствия, взаимодействует с испытательными лабораториями.</w:t>
      </w:r>
    </w:p>
    <w:p w14:paraId="000003A4">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Менеджер по продажам – осуществляет холодные звонки, ведёт переговоры, готовит коммерческие предложения, оформляет отгрузочные документы, отслеживает оплаты.</w:t>
      </w:r>
    </w:p>
    <w:p w14:paraId="000003A5">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Для привлечения и удержания квалифицированных кадров предлагается:</w:t>
      </w:r>
    </w:p>
    <w:p w14:paraId="000003A6">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1) для производственных рабочих – сдельно-премиальная оплата (50% оклада + 50% за выполнение плана, премия за качество);</w:t>
      </w:r>
    </w:p>
    <w:p w14:paraId="000003A7">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2) для АУП (административно-управленческого персонала) – окладно-премиальная (оклад 70% + премия 30% по КПЭ: для коммерческого директора – выполнение плана продаж, для технолога – снижение брака, для производственного менеджера – соблюдение графика);</w:t>
      </w:r>
    </w:p>
    <w:p w14:paraId="000003A8">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3) социальный пакет – оплата медосмотров, частичная компенсация питания;</w:t>
      </w:r>
    </w:p>
    <w:p w14:paraId="000003A9">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4) ежегодная индексация заработной платы на уровень инфляции.</w:t>
      </w:r>
    </w:p>
    <w:p w14:paraId="000003AA">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 xml:space="preserve">Пензенская область имеет развитую систему профессионального образования. Подбор персонала рекомендуется осуществлять с помощью </w:t>
      </w:r>
      <w:r>
        <w:rPr>
          <w:rFonts w:ascii="Times New Roman" w:cs="Times New Roman" w:hAnsi="Times New Roman"/>
          <w:bCs/>
          <w:sz w:val="28"/>
          <w:szCs w:val="28"/>
        </w:rPr>
        <w:t>следующих</w:t>
      </w:r>
      <w:r>
        <w:rPr>
          <w:rFonts w:ascii="Times New Roman" w:cs="Times New Roman" w:hAnsi="Times New Roman"/>
          <w:bCs/>
          <w:sz w:val="28"/>
          <w:szCs w:val="28"/>
        </w:rPr>
        <w:t xml:space="preserve"> направлений и каналов привлечения кадров:</w:t>
      </w:r>
    </w:p>
    <w:p w14:paraId="000003AB">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1) Пензенский государственный университет архитектуры и строительства (ПГУАС) – подготовка технологов и инженеров;</w:t>
      </w:r>
    </w:p>
    <w:p w14:paraId="000003AC">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2) Пензенский колледж архитектуры и строительства – подготовка рабочих специальностей;</w:t>
      </w:r>
    </w:p>
    <w:p w14:paraId="000003AD">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3) центры занятости населения Пензенской области;</w:t>
      </w:r>
    </w:p>
    <w:p w14:paraId="000003AE">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4) специализированные сайты по поиску работы (HeadHunter, SuperJob, Зарплата.ру).</w:t>
      </w:r>
    </w:p>
    <w:p w14:paraId="000003AF">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Разработанная система управления базируется на линейно-функциональной структуре, адекватной масштабу предприятия. Штатное расписание включает 17 человек, что позволяет обеспечить все ключевые функции. Фонд оплаты труда с учётом страховых взносов составляет около 1 млн рублей в месяц. Особое внимание уделено роли технолога, так как качество гиперпрессованного кирпича критически зависит от рецептуры и режимов прессования. Предложенная система мотивации нацелена на качественные результаты и выполнение планов. Кадровая политика учитывает особенности Пензенской области: наличие профильных учебных заведений (ПГУАС, колледж) и средний уровень заработной платы.</w:t>
      </w:r>
    </w:p>
    <w:p w14:paraId="000003B0">
      <w:pPr>
        <w:spacing w:beforeAutospacing="0" w:after="0" w:afterAutospacing="0" w:line="360" w:lineRule="auto"/>
        <w:ind w:firstLine="709"/>
        <w:jc w:val="both"/>
        <w:rPr>
          <w:rFonts w:ascii="Times New Roman" w:cs="Times New Roman" w:hAnsi="Times New Roman"/>
          <w:b/>
          <w:bCs/>
          <w:sz w:val="28"/>
          <w:szCs w:val="28"/>
        </w:rPr>
      </w:pPr>
    </w:p>
    <w:p w14:paraId="000003B1">
      <w:pPr>
        <w:pStyle w:val="Heading1"/>
        <w:spacing w:before="0" w:beforeAutospacing="0" w:afterAutospacing="0" w:line="360" w:lineRule="auto"/>
        <w:ind w:firstLine="706"/>
        <w:jc w:val="both"/>
        <w:rPr>
          <w:rFonts w:ascii="Times New Roman" w:cs="Times New Roman" w:hAnsi="Times New Roman"/>
          <w:b/>
          <w:bCs/>
          <w:color w:val="auto"/>
          <w:sz w:val="28"/>
          <w:szCs w:val="28"/>
        </w:rPr>
      </w:pPr>
    </w:p>
    <w:p w14:paraId="000003B2">
      <w:pPr>
        <w:pStyle w:val="Heading1"/>
        <w:spacing w:before="0" w:beforeAutospacing="0" w:afterAutospacing="0" w:line="360" w:lineRule="auto"/>
        <w:ind w:firstLine="709"/>
        <w:jc w:val="both"/>
        <w:rPr>
          <w:rFonts w:ascii="Times New Roman" w:cs="Times New Roman" w:hAnsi="Times New Roman"/>
          <w:sz w:val="28"/>
          <w:szCs w:val="28"/>
        </w:rPr>
      </w:pPr>
      <w:bookmarkStart w:id="7" w:name="_Toc232406682"/>
      <w:r>
        <w:rPr>
          <w:rFonts w:ascii="Times New Roman" w:cs="Times New Roman" w:hAnsi="Times New Roman"/>
          <w:b/>
          <w:bCs/>
          <w:color w:val="auto"/>
          <w:sz w:val="28"/>
          <w:szCs w:val="28"/>
        </w:rPr>
        <w:t>3.2 Формирование стратегий развития организации</w:t>
      </w:r>
      <w:bookmarkEnd w:id="7"/>
    </w:p>
    <w:p w14:paraId="000003B3">
      <w:pPr>
        <w:spacing w:beforeAutospacing="0" w:after="0" w:afterAutospacing="0" w:line="360" w:lineRule="auto"/>
        <w:ind w:firstLine="709"/>
        <w:jc w:val="both"/>
        <w:rPr>
          <w:rFonts w:ascii="Times New Roman" w:cs="Times New Roman" w:hAnsi="Times New Roman"/>
          <w:sz w:val="28"/>
          <w:szCs w:val="28"/>
        </w:rPr>
      </w:pPr>
    </w:p>
    <w:p w14:paraId="000003B4">
      <w:pPr>
        <w:spacing w:beforeAutospacing="0" w:after="0" w:afterAutospacing="0" w:line="360" w:lineRule="auto"/>
        <w:ind w:firstLine="709"/>
        <w:jc w:val="both"/>
        <w:rPr>
          <w:rFonts w:ascii="Times New Roman" w:cs="Times New Roman" w:hAnsi="Times New Roman"/>
          <w:sz w:val="28"/>
          <w:szCs w:val="28"/>
        </w:rPr>
      </w:pPr>
    </w:p>
    <w:p w14:paraId="000003B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обеспечения долгосрочного успеха предприятия необходима продуманная стратегия развития, учитывающая рыночную ситуацию, конкурентную среду и внутренние ресурсы. В данном параграфе формулируются миссия, цели и стратегические приоритеты проектируемого предприятия с учётом его размещения в Пензенской области.</w:t>
      </w:r>
    </w:p>
    <w:p w14:paraId="000003B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Миссия компании:</w:t>
      </w:r>
      <w:r>
        <w:rPr>
          <w:rFonts w:ascii="Times New Roman" w:cs="Times New Roman" w:hAnsi="Times New Roman"/>
          <w:sz w:val="28"/>
          <w:szCs w:val="28"/>
        </w:rPr>
        <w:t> «Обеспечение строительного рынка Пензенской области и сопредельных регионов доступным, высококачественным и экологичным стеновым материалом – гиперпрессованным кирпичом – способствуя реализации современных архитектурных проектов и повышению комфорта жилья».</w:t>
      </w:r>
    </w:p>
    <w:p w14:paraId="000003B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Стратегическое видение (на 5 лет):</w:t>
      </w:r>
      <w:r>
        <w:rPr>
          <w:rFonts w:ascii="Times New Roman" w:cs="Times New Roman" w:hAnsi="Times New Roman"/>
          <w:sz w:val="28"/>
          <w:szCs w:val="28"/>
        </w:rPr>
        <w:t> «Стать ведущим производителем гиперпрессованного кирпича в Приволжском федеральном округе, занимающим не менее 40% регионального рынка Пензенской области, с ежегодным оборотом свыше 250 млн рублей и репутацией надёжного поставщика».</w:t>
      </w:r>
    </w:p>
    <w:p w14:paraId="000003B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обоснования стратегии проведён SWOT-анализ, результаты которого сведены в таблицу 3.2</w:t>
      </w:r>
    </w:p>
    <w:p w14:paraId="000003B9">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 xml:space="preserve">Таблица 3.2 – SWOT-анализ проектируемого предприятия в Пензенской области </w:t>
      </w:r>
    </w:p>
    <w:tbl>
      <w:tblPr>
        <w:tblStyle w:val="TableGrid"/>
        <w:tblW w:w="9343" w:type="dxa"/>
        <w:jc w:val="center"/>
        <w:tblInd w:w="75" w:type="dxa"/>
        <w:tblLook w:val="04A0"/>
      </w:tblPr>
      <w:tblGrid>
        <w:gridCol w:w="4293"/>
        <w:gridCol w:w="5050"/>
      </w:tblGrid>
      <w:tr>
        <w:trPr>
          <w:jc w:val="center"/>
        </w:trPr>
        <w:tc>
          <w:tcPr>
            <w:cnfStyle w:val="101000000000"/>
            <w:tcW w:w="4293" w:type="dxa"/>
          </w:tcPr>
          <w:p w14:paraId="000003BA">
            <w:pPr>
              <w:jc w:val="center"/>
              <w:rPr>
                <w:rFonts w:ascii="Times New Roman" w:cs="Times New Roman" w:hAnsi="Times New Roman"/>
                <w:sz w:val="24"/>
                <w:szCs w:val="24"/>
              </w:rPr>
            </w:pPr>
            <w:r>
              <w:rPr>
                <w:rFonts w:ascii="Times New Roman" w:cs="Times New Roman" w:hAnsi="Times New Roman"/>
                <w:sz w:val="24"/>
                <w:szCs w:val="24"/>
              </w:rPr>
              <w:t>Сильные стороны (Strengths)</w:t>
            </w:r>
          </w:p>
        </w:tc>
        <w:tc>
          <w:tcPr>
            <w:cnfStyle w:val="100000000000"/>
            <w:tcW w:w="5050" w:type="dxa"/>
          </w:tcPr>
          <w:p w14:paraId="000003BB">
            <w:pPr>
              <w:jc w:val="center"/>
              <w:rPr>
                <w:rFonts w:ascii="Times New Roman" w:cs="Times New Roman" w:hAnsi="Times New Roman"/>
                <w:sz w:val="24"/>
                <w:szCs w:val="24"/>
              </w:rPr>
            </w:pPr>
            <w:r>
              <w:rPr>
                <w:rFonts w:ascii="Times New Roman" w:cs="Times New Roman" w:hAnsi="Times New Roman"/>
                <w:sz w:val="24"/>
                <w:szCs w:val="24"/>
              </w:rPr>
              <w:t>Слабые стороны (Weaknesses)</w:t>
            </w:r>
          </w:p>
        </w:tc>
      </w:tr>
      <w:tr>
        <w:trPr>
          <w:jc w:val="center"/>
        </w:trPr>
        <w:tc>
          <w:tcPr>
            <w:cnfStyle w:val="001000100000"/>
            <w:tcW w:w="4293" w:type="dxa"/>
          </w:tcPr>
          <w:p w14:paraId="000003BC">
            <w:pPr>
              <w:jc w:val="both"/>
              <w:rPr>
                <w:rFonts w:ascii="Times New Roman" w:cs="Times New Roman" w:hAnsi="Times New Roman"/>
                <w:sz w:val="24"/>
                <w:szCs w:val="24"/>
              </w:rPr>
            </w:pPr>
            <w:r>
              <w:rPr>
                <w:rFonts w:ascii="Times New Roman" w:cs="Times New Roman" w:hAnsi="Times New Roman"/>
                <w:sz w:val="24"/>
                <w:szCs w:val="24"/>
              </w:rPr>
              <w:t>1. Современное оборудование для гиперпрессования</w:t>
            </w:r>
          </w:p>
        </w:tc>
        <w:tc>
          <w:tcPr>
            <w:cnfStyle w:val="000000100000"/>
            <w:tcW w:w="5050" w:type="dxa"/>
          </w:tcPr>
          <w:p w14:paraId="000003BD">
            <w:pPr>
              <w:jc w:val="both"/>
              <w:rPr>
                <w:rFonts w:ascii="Times New Roman" w:cs="Times New Roman" w:hAnsi="Times New Roman"/>
                <w:sz w:val="24"/>
                <w:szCs w:val="24"/>
              </w:rPr>
            </w:pPr>
            <w:r>
              <w:rPr>
                <w:rFonts w:ascii="Times New Roman" w:cs="Times New Roman" w:hAnsi="Times New Roman"/>
                <w:sz w:val="24"/>
                <w:szCs w:val="24"/>
              </w:rPr>
              <w:t>1. Отсутствие узнаваемого бренда (стартап)</w:t>
            </w:r>
          </w:p>
        </w:tc>
      </w:tr>
      <w:tr>
        <w:trPr>
          <w:jc w:val="center"/>
        </w:trPr>
        <w:tc>
          <w:tcPr>
            <w:cnfStyle w:val="001000010000"/>
            <w:tcW w:w="4293" w:type="dxa"/>
          </w:tcPr>
          <w:p w14:paraId="000003BE">
            <w:pPr>
              <w:jc w:val="both"/>
              <w:rPr>
                <w:rFonts w:ascii="Times New Roman" w:cs="Times New Roman" w:hAnsi="Times New Roman"/>
                <w:sz w:val="24"/>
                <w:szCs w:val="24"/>
              </w:rPr>
            </w:pPr>
            <w:r>
              <w:rPr>
                <w:rFonts w:ascii="Times New Roman" w:cs="Times New Roman" w:hAnsi="Times New Roman"/>
                <w:sz w:val="24"/>
                <w:szCs w:val="24"/>
              </w:rPr>
              <w:t>2. Локализация в Пензе – снижение логистических затрат</w:t>
            </w:r>
          </w:p>
        </w:tc>
        <w:tc>
          <w:tcPr>
            <w:cnfStyle w:val="000000010000"/>
            <w:tcW w:w="5050" w:type="dxa"/>
          </w:tcPr>
          <w:p w14:paraId="000003BF">
            <w:pPr>
              <w:jc w:val="both"/>
              <w:rPr>
                <w:rFonts w:ascii="Times New Roman" w:cs="Times New Roman" w:hAnsi="Times New Roman"/>
                <w:sz w:val="24"/>
                <w:szCs w:val="24"/>
              </w:rPr>
            </w:pPr>
            <w:r>
              <w:rPr>
                <w:rFonts w:ascii="Times New Roman" w:cs="Times New Roman" w:hAnsi="Times New Roman"/>
                <w:sz w:val="24"/>
                <w:szCs w:val="24"/>
              </w:rPr>
              <w:t>2. Ограниченный опыт управления производством</w:t>
            </w:r>
          </w:p>
        </w:tc>
      </w:tr>
      <w:tr>
        <w:trPr>
          <w:jc w:val="center"/>
        </w:trPr>
        <w:tc>
          <w:tcPr>
            <w:cnfStyle w:val="001000100000"/>
            <w:tcW w:w="4293" w:type="dxa"/>
          </w:tcPr>
          <w:p w14:paraId="000003C0">
            <w:pPr>
              <w:jc w:val="both"/>
              <w:rPr>
                <w:rFonts w:ascii="Times New Roman" w:cs="Times New Roman" w:hAnsi="Times New Roman"/>
                <w:sz w:val="24"/>
                <w:szCs w:val="24"/>
              </w:rPr>
            </w:pPr>
            <w:r>
              <w:rPr>
                <w:rFonts w:ascii="Times New Roman" w:cs="Times New Roman" w:hAnsi="Times New Roman"/>
                <w:sz w:val="24"/>
                <w:szCs w:val="24"/>
              </w:rPr>
              <w:t>3. Широкий ассортимент (12 цветов, 3 фактуры)</w:t>
            </w:r>
          </w:p>
        </w:tc>
        <w:tc>
          <w:tcPr>
            <w:cnfStyle w:val="000000100000"/>
            <w:tcW w:w="5050" w:type="dxa"/>
          </w:tcPr>
          <w:p w14:paraId="000003C1">
            <w:pPr>
              <w:jc w:val="both"/>
              <w:rPr>
                <w:rFonts w:ascii="Times New Roman" w:cs="Times New Roman" w:hAnsi="Times New Roman"/>
                <w:sz w:val="24"/>
                <w:szCs w:val="24"/>
              </w:rPr>
            </w:pPr>
            <w:r>
              <w:rPr>
                <w:rFonts w:ascii="Times New Roman" w:cs="Times New Roman" w:hAnsi="Times New Roman"/>
                <w:sz w:val="24"/>
                <w:szCs w:val="24"/>
              </w:rPr>
              <w:t>3. Зависимость от поставок цемента и отсевов</w:t>
            </w:r>
          </w:p>
        </w:tc>
      </w:tr>
      <w:tr>
        <w:trPr>
          <w:jc w:val="center"/>
        </w:trPr>
        <w:tc>
          <w:tcPr>
            <w:cnfStyle w:val="001000010000"/>
            <w:tcW w:w="4293" w:type="dxa"/>
          </w:tcPr>
          <w:p w14:paraId="000003C2">
            <w:pPr>
              <w:jc w:val="both"/>
              <w:rPr>
                <w:rFonts w:ascii="Times New Roman" w:cs="Times New Roman" w:hAnsi="Times New Roman"/>
                <w:sz w:val="24"/>
                <w:szCs w:val="24"/>
              </w:rPr>
            </w:pPr>
            <w:r>
              <w:rPr>
                <w:rFonts w:ascii="Times New Roman" w:cs="Times New Roman" w:hAnsi="Times New Roman"/>
                <w:sz w:val="24"/>
                <w:szCs w:val="24"/>
              </w:rPr>
              <w:t>4. Высокая прочность (М200-М350) и морозостойкость (F100)</w:t>
            </w:r>
          </w:p>
        </w:tc>
        <w:tc>
          <w:tcPr>
            <w:cnfStyle w:val="000000010000"/>
            <w:tcW w:w="5050" w:type="dxa"/>
          </w:tcPr>
          <w:p w14:paraId="000003C3">
            <w:pPr>
              <w:jc w:val="both"/>
              <w:rPr>
                <w:rFonts w:ascii="Times New Roman" w:cs="Times New Roman" w:hAnsi="Times New Roman"/>
                <w:sz w:val="24"/>
                <w:szCs w:val="24"/>
              </w:rPr>
            </w:pPr>
            <w:r>
              <w:rPr>
                <w:rFonts w:ascii="Times New Roman" w:cs="Times New Roman" w:hAnsi="Times New Roman"/>
                <w:sz w:val="24"/>
                <w:szCs w:val="24"/>
              </w:rPr>
              <w:t>4. Высокая доля постоянных затрат (амортизация)</w:t>
            </w:r>
          </w:p>
        </w:tc>
      </w:tr>
      <w:tr>
        <w:trPr>
          <w:jc w:val="center"/>
        </w:trPr>
        <w:tc>
          <w:tcPr>
            <w:cnfStyle w:val="001000100000"/>
            <w:tcW w:w="4293" w:type="dxa"/>
          </w:tcPr>
          <w:p w14:paraId="000003C4">
            <w:pPr>
              <w:jc w:val="both"/>
              <w:rPr>
                <w:rFonts w:ascii="Times New Roman" w:cs="Times New Roman" w:hAnsi="Times New Roman"/>
                <w:sz w:val="24"/>
                <w:szCs w:val="24"/>
              </w:rPr>
            </w:pPr>
            <w:r>
              <w:rPr>
                <w:rFonts w:ascii="Times New Roman" w:cs="Times New Roman" w:hAnsi="Times New Roman"/>
                <w:sz w:val="24"/>
                <w:szCs w:val="24"/>
              </w:rPr>
              <w:t>5. Конкурентная цена за счёт местного сырья</w:t>
            </w:r>
          </w:p>
        </w:tc>
        <w:tc>
          <w:tcPr>
            <w:cnfStyle w:val="000000100000"/>
            <w:tcW w:w="5050" w:type="dxa"/>
          </w:tcPr>
          <w:p w14:paraId="000003C5">
            <w:pPr>
              <w:jc w:val="both"/>
              <w:rPr>
                <w:rFonts w:ascii="Times New Roman" w:cs="Times New Roman" w:hAnsi="Times New Roman"/>
                <w:sz w:val="24"/>
                <w:szCs w:val="24"/>
              </w:rPr>
            </w:pPr>
            <w:r>
              <w:rPr>
                <w:rFonts w:ascii="Times New Roman" w:cs="Times New Roman" w:hAnsi="Times New Roman"/>
                <w:sz w:val="24"/>
                <w:szCs w:val="24"/>
              </w:rPr>
              <w:t>5. Отсутствие долгосрочных контрактов с застройщиками</w:t>
            </w:r>
          </w:p>
        </w:tc>
      </w:tr>
      <w:tr>
        <w:trPr>
          <w:jc w:val="center"/>
        </w:trPr>
        <w:tc>
          <w:tcPr>
            <w:cnfStyle w:val="001000010000"/>
            <w:tcW w:w="4293" w:type="dxa"/>
          </w:tcPr>
          <w:p w14:paraId="000003C6">
            <w:pPr>
              <w:jc w:val="both"/>
              <w:rPr>
                <w:rFonts w:ascii="Times New Roman" w:cs="Times New Roman" w:hAnsi="Times New Roman"/>
                <w:sz w:val="24"/>
                <w:szCs w:val="24"/>
              </w:rPr>
            </w:pPr>
            <w:r>
              <w:rPr>
                <w:rFonts w:ascii="Times New Roman" w:cs="Times New Roman" w:hAnsi="Times New Roman"/>
                <w:sz w:val="24"/>
                <w:szCs w:val="24"/>
              </w:rPr>
              <w:t>6. Наличие карьеров отсевов в Пензенской области</w:t>
            </w:r>
          </w:p>
        </w:tc>
        <w:tc>
          <w:tcPr>
            <w:cnfStyle w:val="000000010000"/>
            <w:tcW w:w="5050" w:type="dxa"/>
          </w:tcPr>
          <w:p w14:paraId="000003C7">
            <w:pPr>
              <w:jc w:val="both"/>
              <w:rPr>
                <w:rFonts w:ascii="Times New Roman" w:cs="Times New Roman" w:hAnsi="Times New Roman"/>
                <w:sz w:val="24"/>
                <w:szCs w:val="24"/>
              </w:rPr>
            </w:pPr>
            <w:r>
              <w:rPr>
                <w:rFonts w:ascii="Times New Roman" w:cs="Times New Roman" w:hAnsi="Times New Roman"/>
                <w:sz w:val="24"/>
                <w:szCs w:val="24"/>
              </w:rPr>
              <w:t>6. Ограниченные оборотные средства на старте</w:t>
            </w:r>
          </w:p>
        </w:tc>
      </w:tr>
      <w:tr>
        <w:trPr>
          <w:jc w:val="center"/>
        </w:trPr>
        <w:tc>
          <w:tcPr>
            <w:cnfStyle w:val="001000100000"/>
            <w:tcW w:w="4293" w:type="dxa"/>
          </w:tcPr>
          <w:p w14:paraId="000003C8">
            <w:pPr>
              <w:jc w:val="center"/>
              <w:rPr>
                <w:rFonts w:ascii="Times New Roman" w:cs="Times New Roman" w:hAnsi="Times New Roman"/>
                <w:sz w:val="24"/>
                <w:szCs w:val="24"/>
              </w:rPr>
            </w:pPr>
            <w:r>
              <w:rPr>
                <w:rFonts w:ascii="Times New Roman" w:cs="Times New Roman" w:hAnsi="Times New Roman"/>
                <w:sz w:val="24"/>
                <w:szCs w:val="24"/>
              </w:rPr>
              <w:t>Возможности (Opportunities)</w:t>
            </w:r>
          </w:p>
        </w:tc>
        <w:tc>
          <w:tcPr>
            <w:cnfStyle w:val="000000100000"/>
            <w:tcW w:w="5050" w:type="dxa"/>
          </w:tcPr>
          <w:p w14:paraId="000003C9">
            <w:pPr>
              <w:jc w:val="center"/>
              <w:rPr>
                <w:rFonts w:ascii="Times New Roman" w:cs="Times New Roman" w:hAnsi="Times New Roman"/>
                <w:sz w:val="24"/>
                <w:szCs w:val="24"/>
              </w:rPr>
            </w:pPr>
            <w:r>
              <w:rPr>
                <w:rFonts w:ascii="Times New Roman" w:cs="Times New Roman" w:hAnsi="Times New Roman"/>
                <w:sz w:val="24"/>
                <w:szCs w:val="24"/>
              </w:rPr>
              <w:t>Угрозы (Threats)</w:t>
            </w:r>
          </w:p>
        </w:tc>
      </w:tr>
      <w:tr>
        <w:trPr>
          <w:jc w:val="center"/>
        </w:trPr>
        <w:tc>
          <w:tcPr>
            <w:cnfStyle w:val="001000010000"/>
            <w:tcW w:w="4293" w:type="dxa"/>
          </w:tcPr>
          <w:p w14:paraId="000003CA">
            <w:pPr>
              <w:jc w:val="both"/>
              <w:rPr>
                <w:rFonts w:ascii="Times New Roman" w:cs="Times New Roman" w:hAnsi="Times New Roman"/>
                <w:sz w:val="24"/>
                <w:szCs w:val="24"/>
              </w:rPr>
            </w:pPr>
            <w:r>
              <w:rPr>
                <w:rFonts w:ascii="Times New Roman" w:cs="Times New Roman" w:hAnsi="Times New Roman"/>
                <w:sz w:val="24"/>
                <w:szCs w:val="24"/>
              </w:rPr>
              <w:t>1. Рост ИЖС в Пензенской области и ПФО</w:t>
            </w:r>
          </w:p>
        </w:tc>
        <w:tc>
          <w:tcPr>
            <w:cnfStyle w:val="000000010000"/>
            <w:tcW w:w="5050" w:type="dxa"/>
          </w:tcPr>
          <w:p w14:paraId="000003CB">
            <w:pPr>
              <w:jc w:val="both"/>
              <w:rPr>
                <w:rFonts w:ascii="Times New Roman" w:cs="Times New Roman" w:hAnsi="Times New Roman"/>
                <w:sz w:val="24"/>
                <w:szCs w:val="24"/>
              </w:rPr>
            </w:pPr>
            <w:r>
              <w:rPr>
                <w:rFonts w:ascii="Times New Roman" w:cs="Times New Roman" w:hAnsi="Times New Roman"/>
                <w:sz w:val="24"/>
                <w:szCs w:val="24"/>
              </w:rPr>
              <w:t>1. Дальнейший спад в строительстве из-за ставок</w:t>
            </w:r>
          </w:p>
        </w:tc>
      </w:tr>
      <w:tr>
        <w:trPr>
          <w:jc w:val="center"/>
        </w:trPr>
        <w:tc>
          <w:tcPr>
            <w:cnfStyle w:val="001000100000"/>
            <w:tcW w:w="4293" w:type="dxa"/>
          </w:tcPr>
          <w:p w14:paraId="000003CC">
            <w:pPr>
              <w:jc w:val="both"/>
              <w:rPr>
                <w:rFonts w:ascii="Times New Roman" w:cs="Times New Roman" w:hAnsi="Times New Roman"/>
                <w:sz w:val="24"/>
                <w:szCs w:val="24"/>
              </w:rPr>
            </w:pPr>
            <w:r>
              <w:rPr>
                <w:rFonts w:ascii="Times New Roman" w:cs="Times New Roman" w:hAnsi="Times New Roman"/>
                <w:sz w:val="24"/>
                <w:szCs w:val="24"/>
              </w:rPr>
              <w:t>2. Отсутствие местных производителей гиперпрессованного кирпича</w:t>
            </w:r>
          </w:p>
        </w:tc>
        <w:tc>
          <w:tcPr>
            <w:cnfStyle w:val="000000100000"/>
            <w:tcW w:w="5050" w:type="dxa"/>
          </w:tcPr>
          <w:p w14:paraId="000003CD">
            <w:pPr>
              <w:jc w:val="both"/>
              <w:rPr>
                <w:rFonts w:ascii="Times New Roman" w:cs="Times New Roman" w:hAnsi="Times New Roman"/>
                <w:sz w:val="24"/>
                <w:szCs w:val="24"/>
              </w:rPr>
            </w:pPr>
            <w:r>
              <w:rPr>
                <w:rFonts w:ascii="Times New Roman" w:cs="Times New Roman" w:hAnsi="Times New Roman"/>
                <w:sz w:val="24"/>
                <w:szCs w:val="24"/>
              </w:rPr>
              <w:t>2. Рост цен на цемент и энергоносители</w:t>
            </w:r>
          </w:p>
        </w:tc>
      </w:tr>
      <w:tr>
        <w:trPr>
          <w:jc w:val="center"/>
        </w:trPr>
        <w:tc>
          <w:tcPr>
            <w:cnfStyle w:val="001000010000"/>
            <w:tcW w:w="4293" w:type="dxa"/>
          </w:tcPr>
          <w:p w14:paraId="000003CE">
            <w:pPr>
              <w:jc w:val="both"/>
              <w:rPr>
                <w:rFonts w:ascii="Times New Roman" w:cs="Times New Roman" w:hAnsi="Times New Roman"/>
                <w:sz w:val="24"/>
                <w:szCs w:val="24"/>
              </w:rPr>
            </w:pPr>
            <w:r>
              <w:rPr>
                <w:rFonts w:ascii="Times New Roman" w:cs="Times New Roman" w:hAnsi="Times New Roman"/>
                <w:sz w:val="24"/>
                <w:szCs w:val="24"/>
              </w:rPr>
              <w:t>3. Государственные программы поддержки МСП</w:t>
            </w:r>
          </w:p>
        </w:tc>
        <w:tc>
          <w:tcPr>
            <w:cnfStyle w:val="000000010000"/>
            <w:tcW w:w="5050" w:type="dxa"/>
          </w:tcPr>
          <w:p w14:paraId="000003CF">
            <w:pPr>
              <w:jc w:val="both"/>
              <w:rPr>
                <w:rFonts w:ascii="Times New Roman" w:cs="Times New Roman" w:hAnsi="Times New Roman"/>
                <w:sz w:val="24"/>
                <w:szCs w:val="24"/>
              </w:rPr>
            </w:pPr>
            <w:r>
              <w:rPr>
                <w:rFonts w:ascii="Times New Roman" w:cs="Times New Roman" w:hAnsi="Times New Roman"/>
                <w:sz w:val="24"/>
                <w:szCs w:val="24"/>
              </w:rPr>
              <w:t>3. Ужесточение конкуренции с газобетоном</w:t>
            </w:r>
          </w:p>
        </w:tc>
      </w:tr>
      <w:tr>
        <w:trPr>
          <w:jc w:val="center"/>
        </w:trPr>
        <w:tc>
          <w:tcPr>
            <w:cnfStyle w:val="001000100000"/>
            <w:tcW w:w="4293" w:type="dxa"/>
          </w:tcPr>
          <w:p w14:paraId="000003D0">
            <w:pPr>
              <w:jc w:val="both"/>
              <w:rPr>
                <w:rFonts w:ascii="Times New Roman" w:cs="Times New Roman" w:hAnsi="Times New Roman"/>
                <w:sz w:val="24"/>
                <w:szCs w:val="24"/>
              </w:rPr>
            </w:pPr>
            <w:r>
              <w:rPr>
                <w:rFonts w:ascii="Times New Roman" w:cs="Times New Roman" w:hAnsi="Times New Roman"/>
                <w:sz w:val="24"/>
                <w:szCs w:val="24"/>
              </w:rPr>
              <w:t>4. Выход на рынки соседних регионов (Мордовия, Тамбов)</w:t>
            </w:r>
          </w:p>
        </w:tc>
        <w:tc>
          <w:tcPr>
            <w:cnfStyle w:val="000000100000"/>
            <w:tcW w:w="5050" w:type="dxa"/>
          </w:tcPr>
          <w:p w14:paraId="000003D1">
            <w:pPr>
              <w:jc w:val="both"/>
              <w:rPr>
                <w:rFonts w:ascii="Times New Roman" w:cs="Times New Roman" w:hAnsi="Times New Roman"/>
                <w:sz w:val="24"/>
                <w:szCs w:val="24"/>
              </w:rPr>
            </w:pPr>
            <w:r>
              <w:rPr>
                <w:rFonts w:ascii="Times New Roman" w:cs="Times New Roman" w:hAnsi="Times New Roman"/>
                <w:sz w:val="24"/>
                <w:szCs w:val="24"/>
              </w:rPr>
              <w:t>4. Повышение ключевой ставки</w:t>
            </w:r>
          </w:p>
        </w:tc>
      </w:tr>
      <w:tr>
        <w:trPr>
          <w:jc w:val="center"/>
        </w:trPr>
        <w:tc>
          <w:tcPr>
            <w:cnfStyle w:val="001000010000"/>
            <w:tcW w:w="4293" w:type="dxa"/>
          </w:tcPr>
          <w:p w14:paraId="000003D2">
            <w:pPr>
              <w:jc w:val="both"/>
              <w:rPr>
                <w:rFonts w:ascii="Times New Roman" w:cs="Times New Roman" w:hAnsi="Times New Roman"/>
                <w:sz w:val="24"/>
                <w:szCs w:val="24"/>
              </w:rPr>
            </w:pPr>
            <w:r>
              <w:rPr>
                <w:rFonts w:ascii="Times New Roman" w:cs="Times New Roman" w:hAnsi="Times New Roman"/>
                <w:sz w:val="24"/>
                <w:szCs w:val="24"/>
              </w:rPr>
              <w:t>5. Участие в региональных программах импортозамещения</w:t>
            </w:r>
          </w:p>
        </w:tc>
        <w:tc>
          <w:tcPr>
            <w:cnfStyle w:val="000000010000"/>
            <w:tcW w:w="5050" w:type="dxa"/>
          </w:tcPr>
          <w:p w14:paraId="000003D3">
            <w:pPr>
              <w:jc w:val="both"/>
              <w:rPr>
                <w:rFonts w:ascii="Times New Roman" w:cs="Times New Roman" w:hAnsi="Times New Roman"/>
                <w:sz w:val="24"/>
                <w:szCs w:val="24"/>
              </w:rPr>
            </w:pPr>
            <w:r>
              <w:rPr>
                <w:rFonts w:ascii="Times New Roman" w:cs="Times New Roman" w:hAnsi="Times New Roman"/>
                <w:sz w:val="24"/>
                <w:szCs w:val="24"/>
              </w:rPr>
              <w:t>5. Новые экологические требования</w:t>
            </w:r>
          </w:p>
        </w:tc>
      </w:tr>
    </w:tbl>
    <w:p w14:paraId="000003D4">
      <w:pPr>
        <w:spacing w:beforeAutospacing="0" w:after="0" w:afterAutospacing="0" w:line="360" w:lineRule="auto"/>
        <w:ind w:firstLine="709"/>
        <w:jc w:val="both"/>
        <w:rPr>
          <w:rFonts w:ascii="Times New Roman" w:cs="Times New Roman" w:hAnsi="Times New Roman"/>
          <w:sz w:val="28"/>
          <w:szCs w:val="28"/>
        </w:rPr>
      </w:pPr>
    </w:p>
    <w:p w14:paraId="000003D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В ходе анализа становится видно, что у проекта больше сильных сторон и возможностей, чем слабых и угроз. Ключевое конкурентное преимущество – локализация в Пензенской области, что даёт экономию на логистике в размере 5–8 руб. на одном кирпиче по сравнению с поставщиками из других регионов. Основная слабость (отсутствие бренда) преодолима в течение 1–2 лет активного маркетинга. Основная угроза – </w:t>
      </w:r>
      <w:r>
        <w:rPr>
          <w:rFonts w:ascii="Times New Roman" w:cs="Times New Roman" w:hAnsi="Times New Roman"/>
          <w:sz w:val="28"/>
          <w:szCs w:val="28"/>
        </w:rPr>
        <w:t>возможное дальнейшее падение спроса на кирпич из-за высокой ключевой ставки.</w:t>
      </w:r>
    </w:p>
    <w:p w14:paraId="000003D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На основе SWOT-анализа выбрана стратегия фокусированной дифференциации. Она предполагает концентрацию усилий на конкретном сегменте рынка (облицовочный гиперпрессованный кирпич для ИЖС и коммерческой недвижимости в Пензенской области) и создание продукта с уникальными свойствами.</w:t>
      </w:r>
    </w:p>
    <w:p w14:paraId="000003D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Дифференциация будет достигаться за счёт:</w:t>
      </w:r>
    </w:p>
    <w:p w14:paraId="000003D8">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1) широкой цветовой гаммы (12 цветов);</w:t>
      </w:r>
    </w:p>
    <w:p w14:paraId="000003D9">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разнообразия фактур («скала», «ригель», гладкая);</w:t>
      </w:r>
    </w:p>
    <w:p w14:paraId="000003DA">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3) возможности изготовления нестандартных размеров под заказ;</w:t>
      </w:r>
    </w:p>
    <w:p w14:paraId="000003DB">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4) высокого качества (стабильная геометрия, прочность);</w:t>
      </w:r>
    </w:p>
    <w:p w14:paraId="000003DC">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5) дополнительных услуг (бесплатные образцы, доставка, консультации);</w:t>
      </w:r>
    </w:p>
    <w:p w14:paraId="000003DD">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6) гарантии 5 лет.</w:t>
      </w:r>
    </w:p>
    <w:p w14:paraId="000003D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Маркетинговая стратегия.</w:t>
      </w:r>
      <w:r>
        <w:rPr>
          <w:rFonts w:ascii="Times New Roman" w:cs="Times New Roman" w:hAnsi="Times New Roman"/>
          <w:sz w:val="28"/>
          <w:szCs w:val="28"/>
        </w:rPr>
        <w:t> Упор на прямые продажи профессиональным застройщикам Пензы и Пензенской области, интернет-продвижение для частных застройщиков (сайт, соцсети, контекстная реклама с геотаргетингом на Пензу и область). Участие в региональных выставках («Строительство и ремонт» в Пензе). Работа с архитектурными бюро города.</w:t>
      </w:r>
    </w:p>
    <w:p w14:paraId="000003D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Производственная стратегия.</w:t>
      </w:r>
      <w:r>
        <w:rPr>
          <w:rFonts w:ascii="Times New Roman" w:cs="Times New Roman" w:hAnsi="Times New Roman"/>
          <w:sz w:val="28"/>
          <w:szCs w:val="28"/>
        </w:rPr>
        <w:t> Максимальное использование местного сырья (отсевы с карьеров Пензенской области, цемент с цементных заводов Приволжья). Снижение брака до 1–2%, внедрение системы контроля качества на каждом этапе. Гибкое планирование с учётом сезонности (летом наращивание объёмов, зимой формирование запасов).</w:t>
      </w:r>
    </w:p>
    <w:p w14:paraId="000003E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Финансовая стратегия.</w:t>
      </w:r>
      <w:r>
        <w:rPr>
          <w:rFonts w:ascii="Times New Roman" w:cs="Times New Roman" w:hAnsi="Times New Roman"/>
          <w:sz w:val="28"/>
          <w:szCs w:val="28"/>
        </w:rPr>
        <w:t> Диверсификация источников финансирования (собственные средства, кредит, господдержка) [46]. Контроль за дебиторской задолженностью (не более 60 дней). Реинвестирование части прибыли (20–30%) в развитие.</w:t>
      </w:r>
    </w:p>
    <w:p w14:paraId="000003E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Кадровая стратегия.</w:t>
      </w:r>
      <w:r>
        <w:rPr>
          <w:rFonts w:ascii="Times New Roman" w:cs="Times New Roman" w:hAnsi="Times New Roman"/>
          <w:sz w:val="28"/>
          <w:szCs w:val="28"/>
        </w:rPr>
        <w:t> Привлечение опытного технолога и коммерческого директора из Пензенской области или соседних регионов. Обучение операторов прессов на базе поставщика оборудования. Сотрудничество с ПГУАС для привлечения молодых специалистов.</w:t>
      </w:r>
    </w:p>
    <w:p w14:paraId="000003E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Стратегия управления качеством.</w:t>
      </w:r>
      <w:r>
        <w:rPr>
          <w:rFonts w:ascii="Times New Roman" w:cs="Times New Roman" w:hAnsi="Times New Roman"/>
          <w:sz w:val="28"/>
          <w:szCs w:val="28"/>
        </w:rPr>
        <w:t> Внедрение системы менеджмента качества по ISO 9001 (добровольная сертификация)</w:t>
      </w:r>
      <w:r>
        <w:rPr>
          <w:rFonts w:ascii="Times New Roman" w:cs="Times New Roman" w:hAnsi="Times New Roman"/>
          <w:sz w:val="28"/>
          <w:szCs w:val="28"/>
        </w:rPr>
        <w:t>.</w:t>
      </w:r>
      <w:r>
        <w:rPr>
          <w:rFonts w:ascii="Times New Roman" w:cs="Times New Roman" w:hAnsi="Times New Roman"/>
          <w:sz w:val="28"/>
          <w:szCs w:val="28"/>
        </w:rPr>
        <w:t xml:space="preserve"> Регулярные испытания продукции в аккредитованной лаборатории (например, в ПГУАС или в Пензенском ЦСМ). Контроль каждой партии.</w:t>
      </w:r>
    </w:p>
    <w:p w14:paraId="000003E3">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bCs/>
          <w:sz w:val="28"/>
          <w:szCs w:val="28"/>
        </w:rPr>
        <w:t>План-график реализации стратегии представлен далее.</w:t>
      </w:r>
    </w:p>
    <w:p w14:paraId="000003E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I этап (1-й год): запуск и закрепление.</w:t>
      </w:r>
      <w:r>
        <w:rPr>
          <w:rFonts w:ascii="Times New Roman" w:cs="Times New Roman" w:hAnsi="Times New Roman"/>
          <w:sz w:val="28"/>
          <w:szCs w:val="28"/>
        </w:rPr>
        <w:t> Задачи: регистрация предприятия в Пензе, аренда и подготовка цеха, закупка и монтаж оборудования, выход на 60% мощности (6 млн шт./год), формирование портфеля заказов, заключение договоров с 3–5 застройщиками Пензы и Пензенской области и 2 гипермаркетами.</w:t>
      </w:r>
    </w:p>
    <w:p w14:paraId="000003E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II этап (2–3-й год): рост и расширение.</w:t>
      </w:r>
      <w:r>
        <w:rPr>
          <w:rFonts w:ascii="Times New Roman" w:cs="Times New Roman" w:hAnsi="Times New Roman"/>
          <w:sz w:val="28"/>
          <w:szCs w:val="28"/>
        </w:rPr>
        <w:t> Задачи: выход на полную мощность (10 млн шт./год), запуск второй формовочной линии, расширение ассортимента (тротуарная плитка), выход на рынки соседних регионов (Мордовия, Тамбовская область), получение ISO 9001.</w:t>
      </w:r>
    </w:p>
    <w:p w14:paraId="000003E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III этап (4–5-й год): диверсификация и масштабирование.</w:t>
      </w:r>
      <w:r>
        <w:rPr>
          <w:rFonts w:ascii="Times New Roman" w:cs="Times New Roman" w:hAnsi="Times New Roman"/>
          <w:sz w:val="28"/>
          <w:szCs w:val="28"/>
        </w:rPr>
        <w:t> Задачи: создание собственного бетонного узла для снижения себестоимости, запуск производства цветной брусчатки, выход на рынки Рязанской и Воронежской областей, участие в тендерах государственных строек Пензенской области.</w:t>
      </w:r>
    </w:p>
    <w:p w14:paraId="000003E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Сформулированная стратегия фокусированной дифференциации позволяет занять устойчивую позицию на рынке гиперпрессованного кирпича Пензенской области. Миссия и видение задают долгосрочный вектор развития. Функциональные стратегии охватывают все ключевые направления деятельности. Трёхэтапный план делает реализацию стратегии управляемой и измеримой. Особое внимание уделяется использованию местных конкурентных преимуществ: близость карьеров, наличие </w:t>
      </w:r>
      <w:r>
        <w:rPr>
          <w:rFonts w:ascii="Times New Roman" w:cs="Times New Roman" w:hAnsi="Times New Roman"/>
          <w:sz w:val="28"/>
          <w:szCs w:val="28"/>
        </w:rPr>
        <w:t>профильных учебных заведений, государственная поддержка МСП в регионе.</w:t>
      </w:r>
      <w:bookmarkStart w:id="8" w:name="_Toc232406683"/>
    </w:p>
    <w:p w14:paraId="000003E8">
      <w:pPr>
        <w:spacing w:beforeAutospacing="0" w:after="0" w:afterAutospacing="0" w:line="360" w:lineRule="auto"/>
        <w:ind w:firstLine="709"/>
        <w:jc w:val="both"/>
        <w:rPr>
          <w:rFonts w:ascii="Times New Roman" w:cs="Times New Roman" w:hAnsi="Times New Roman"/>
          <w:sz w:val="28"/>
          <w:szCs w:val="28"/>
        </w:rPr>
      </w:pPr>
    </w:p>
    <w:p w14:paraId="000003E9">
      <w:pPr>
        <w:spacing w:beforeAutospacing="0" w:after="0" w:afterAutospacing="0" w:line="360" w:lineRule="auto"/>
        <w:ind w:firstLine="709"/>
        <w:jc w:val="both"/>
        <w:rPr>
          <w:rFonts w:ascii="Times New Roman" w:cs="Times New Roman" w:hAnsi="Times New Roman"/>
          <w:sz w:val="28"/>
          <w:szCs w:val="28"/>
        </w:rPr>
      </w:pPr>
    </w:p>
    <w:p w14:paraId="000003EA">
      <w:pPr>
        <w:spacing w:beforeAutospacing="0" w:after="0" w:afterAutospacing="0" w:line="360" w:lineRule="auto"/>
        <w:ind w:firstLine="709"/>
        <w:jc w:val="both"/>
        <w:rPr>
          <w:rFonts w:ascii="Times New Roman" w:cs="Times New Roman" w:hAnsi="Times New Roman"/>
          <w:b/>
          <w:bCs/>
          <w:sz w:val="28"/>
          <w:szCs w:val="28"/>
        </w:rPr>
      </w:pPr>
      <w:r>
        <w:rPr>
          <w:rFonts w:ascii="Times New Roman" w:cs="Times New Roman" w:hAnsi="Times New Roman"/>
          <w:b/>
          <w:bCs/>
          <w:sz w:val="28"/>
          <w:szCs w:val="28"/>
        </w:rPr>
        <w:t>3.3 Предложения по организации операционных и логистических процессов</w:t>
      </w:r>
      <w:bookmarkEnd w:id="8"/>
      <w:r>
        <w:rPr>
          <w:rFonts w:ascii="Times New Roman" w:cs="Times New Roman" w:hAnsi="Times New Roman"/>
          <w:b/>
          <w:bCs/>
          <w:sz w:val="28"/>
          <w:szCs w:val="28"/>
        </w:rPr>
        <w:t xml:space="preserve"> организации</w:t>
      </w:r>
    </w:p>
    <w:p w14:paraId="000003EB">
      <w:pPr>
        <w:spacing w:beforeAutospacing="0" w:after="0" w:afterAutospacing="0" w:line="360" w:lineRule="auto"/>
        <w:ind w:firstLine="709"/>
        <w:jc w:val="both"/>
        <w:rPr>
          <w:rFonts w:ascii="Times New Roman" w:cs="Times New Roman" w:hAnsi="Times New Roman"/>
          <w:sz w:val="28"/>
          <w:szCs w:val="28"/>
        </w:rPr>
      </w:pPr>
    </w:p>
    <w:p w14:paraId="000003EC">
      <w:pPr>
        <w:spacing w:beforeAutospacing="0" w:after="0" w:afterAutospacing="0" w:line="360" w:lineRule="auto"/>
        <w:ind w:firstLine="709"/>
        <w:jc w:val="both"/>
        <w:rPr>
          <w:rFonts w:ascii="Times New Roman" w:cs="Times New Roman" w:hAnsi="Times New Roman"/>
          <w:sz w:val="28"/>
          <w:szCs w:val="28"/>
        </w:rPr>
      </w:pPr>
    </w:p>
    <w:p w14:paraId="000003E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Эффективность производственного предприятия напрямую зависит от рационально организованных операционных (производственных) и логистических процессов. В данном параграфе подробно описывается технологическая схема производства гиперпрессованного кирпича, система контроля качества, складская логистика и мероприятия по энергосбережению с учётом размещения предприятия в Пензенской области.</w:t>
      </w:r>
    </w:p>
    <w:p w14:paraId="000003E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Производство гиперпрессованного кирпича методом полусухого гиперпрессования включает стадии, рассмотренные далее.</w:t>
      </w:r>
    </w:p>
    <w:p w14:paraId="000003E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Приёмка и хранение сырья.</w:t>
      </w:r>
      <w:r>
        <w:rPr>
          <w:rFonts w:ascii="Times New Roman" w:cs="Times New Roman" w:hAnsi="Times New Roman"/>
          <w:sz w:val="28"/>
          <w:szCs w:val="28"/>
        </w:rPr>
        <w:t> Цемент доставляется автоцементовозами с цементных заводов Приволжья. Наиболее близкими поставщиками являются «Мордовцемент» (г. Комсомольский, Республика Мордовия, расстояние 250 км от Пензы) и «Ульяновскцемент» (г. Новоульяновск, Ульяновская область, расстояние 280 км). Цемент перегружается в силосы ёмкостью 50–100 тонн. Отсевы дробления известняка закупаются у карьеров Пензенской области (Лунинский район, Каменский район, Нижнеломовский район). Расстояние доставки составляет 50–100 км, что значительно снижает транспортные расходы. Отсевы складируются на открытой бетонированной площадке под навесом. Пигменты и пластификаторы поставляются в биг-бэгах и хранятся в закрытом помещении.</w:t>
      </w:r>
    </w:p>
    <w:p w14:paraId="000003F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Дозирование и смешивание.</w:t>
      </w:r>
      <w:r>
        <w:rPr>
          <w:rFonts w:ascii="Times New Roman" w:cs="Times New Roman" w:hAnsi="Times New Roman"/>
          <w:sz w:val="28"/>
          <w:szCs w:val="28"/>
        </w:rPr>
        <w:t xml:space="preserve"> Компоненты автоматически взвешиваются на весовых дозаторах с погрешностью не более ±0,5%. Затем они подаются в двухвальный смеситель принудительного действия. Время смешивания </w:t>
      </w:r>
      <w:r>
        <w:rPr>
          <w:rFonts w:ascii="Times New Roman" w:cs="Times New Roman" w:hAnsi="Times New Roman"/>
          <w:sz w:val="28"/>
          <w:szCs w:val="28"/>
        </w:rPr>
        <w:t>составляет 3–5 минут. Добавляется вода в количестве 10–12% от массы сухой смеси. Важно добиться однородной «полусухой» смеси – она должна сжиматься в комок, но не выделять воду. На этой стадии добавляются пигменты для окрашивания кирпича и пластификаторы для повышения прочности и морозостойкости.</w:t>
      </w:r>
    </w:p>
    <w:p w14:paraId="000003F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Формование (гиперпрессование).</w:t>
      </w:r>
      <w:r>
        <w:rPr>
          <w:rFonts w:ascii="Times New Roman" w:cs="Times New Roman" w:hAnsi="Times New Roman"/>
          <w:sz w:val="28"/>
          <w:szCs w:val="28"/>
        </w:rPr>
        <w:t> Готовая смесь поступает в приёмный бункер гидравлического пресса. Под давлением 150–200 кг/см² формируется кирпич-«сырец». Цикл формования одного кирпича составляет 5–10 секунд. Пресс оснащается сменными матрицами для выпуска разных типоразмеров: стандартный 250×120×65 мм, узкий 250×85×65 мм, пустотелый. Производительность пресса – до 10 тыс. штук в смену. На этом этапе особенно важен контроль давления и времени выдержки под прессом.</w:t>
      </w:r>
    </w:p>
    <w:p w14:paraId="000003F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Выдержка (твердение).</w:t>
      </w:r>
      <w:r>
        <w:rPr>
          <w:rFonts w:ascii="Times New Roman" w:cs="Times New Roman" w:hAnsi="Times New Roman"/>
          <w:sz w:val="28"/>
          <w:szCs w:val="28"/>
        </w:rPr>
        <w:t> Сформованный кирпич на деревянных поддонах отправляется на склад выдержки. Важно, чтобы температура в помещении была не ниже +5°С – в пензенских зимних условиях склад необходимо отапливать. Первые 3–5 дней кирпич набирает распалубочную прочность (около 50–60% от марочной). Полная прочность достигается через 28 суток. Для ускорения твердения может использоваться пропарочная камера (сокращает срок до 3–5 суток), но это требует дополнительных затрат на пар. В условиях Пензенской области с продолжительной зимой пропарочная камера является целесообразным вложением, так как позволяет вести производство круглый год.</w:t>
      </w:r>
    </w:p>
    <w:p w14:paraId="000003F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Контроль качества и упаковка.</w:t>
      </w:r>
      <w:r>
        <w:rPr>
          <w:rFonts w:ascii="Times New Roman" w:cs="Times New Roman" w:hAnsi="Times New Roman"/>
          <w:sz w:val="28"/>
          <w:szCs w:val="28"/>
        </w:rPr>
        <w:t xml:space="preserve"> Готовая продукция проверяется на соответствие ГОСТ 6133-2019. Контролируются геометрические размеры (штангенциркулем, контрольной рамкой), прочность на сжатие (на лабораторном прессе), водопоглощение (взвешивание до и после вымачивания), морозостойкость (1 раз в квартал в аккредитованной лаборатории). Кирпич упаковывается на поддоны в термоусадочную плёнку или обвязывается полипропиленовой лентой. Маркировка содержит </w:t>
      </w:r>
      <w:r>
        <w:rPr>
          <w:rFonts w:ascii="Times New Roman" w:cs="Times New Roman" w:hAnsi="Times New Roman"/>
          <w:sz w:val="28"/>
          <w:szCs w:val="28"/>
        </w:rPr>
        <w:t>наименование продукции, марку по прочности, дату изготовления, номер партии и обозначение ГОСТа.</w:t>
      </w:r>
    </w:p>
    <w:p w14:paraId="000003F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Общая стоимость оборудования с учётом лабораторного оснащения составляет 47 млн рублей (на 2 млн больше ранее запланированного) (таблица 3.3). Пресс «Монолит-10» – российского производства (г. Воронеж), что исключает санкционные риски и упрощает сервисное обслуживание. Наличие пропарочной камеры особенно важно для Пензенской области с её продолжительной зимой – она позволяет вести производство круглый год без перерывов на холодный сезон.</w:t>
      </w:r>
    </w:p>
    <w:p w14:paraId="000003F5">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3.3 – Основное оборудование для производства гиперпрессованного кирпича (с характеристиками)</w:t>
      </w:r>
    </w:p>
    <w:tbl>
      <w:tblPr>
        <w:tblStyle w:val="TableGrid"/>
        <w:tblW w:w="0" w:type="auto"/>
        <w:jc w:val="center"/>
        <w:tblLook w:val="04A0"/>
      </w:tblPr>
      <w:tblGrid>
        <w:gridCol w:w="2712"/>
        <w:gridCol w:w="891"/>
        <w:gridCol w:w="1285"/>
        <w:gridCol w:w="1271"/>
        <w:gridCol w:w="1224"/>
        <w:gridCol w:w="1962"/>
      </w:tblGrid>
      <w:tr>
        <w:trPr>
          <w:jc w:val="center"/>
        </w:trPr>
        <w:tc>
          <w:tcPr>
            <w:cnfStyle w:val="101000000000"/>
            <w:tcW w:w="2712" w:type="dxa"/>
          </w:tcPr>
          <w:p w14:paraId="000003F6">
            <w:pPr>
              <w:jc w:val="center"/>
              <w:rPr>
                <w:rFonts w:ascii="Times New Roman" w:cs="Times New Roman" w:hAnsi="Times New Roman"/>
              </w:rPr>
            </w:pPr>
            <w:r>
              <w:rPr>
                <w:rFonts w:ascii="Times New Roman" w:cs="Times New Roman" w:hAnsi="Times New Roman"/>
              </w:rPr>
              <w:t>Оборудование</w:t>
            </w:r>
          </w:p>
        </w:tc>
        <w:tc>
          <w:tcPr>
            <w:cnfStyle w:val="100000000000"/>
            <w:tcW w:w="891" w:type="dxa"/>
          </w:tcPr>
          <w:p w14:paraId="000003F7">
            <w:pPr>
              <w:jc w:val="center"/>
              <w:rPr>
                <w:rFonts w:ascii="Times New Roman" w:cs="Times New Roman" w:hAnsi="Times New Roman"/>
              </w:rPr>
            </w:pPr>
            <w:r>
              <w:rPr>
                <w:rFonts w:ascii="Times New Roman" w:cs="Times New Roman" w:hAnsi="Times New Roman"/>
              </w:rPr>
              <w:t>Кол-во</w:t>
            </w:r>
          </w:p>
        </w:tc>
        <w:tc>
          <w:tcPr>
            <w:cnfStyle w:val="100000000000"/>
            <w:tcW w:w="1285" w:type="dxa"/>
          </w:tcPr>
          <w:p w14:paraId="000003F8">
            <w:pPr>
              <w:jc w:val="center"/>
              <w:rPr>
                <w:rFonts w:ascii="Times New Roman" w:cs="Times New Roman" w:hAnsi="Times New Roman"/>
              </w:rPr>
            </w:pPr>
            <w:r>
              <w:rPr>
                <w:rFonts w:ascii="Times New Roman" w:cs="Times New Roman" w:hAnsi="Times New Roman"/>
              </w:rPr>
              <w:t>Стоимость, тыс. руб.</w:t>
            </w:r>
          </w:p>
        </w:tc>
        <w:tc>
          <w:tcPr>
            <w:cnfStyle w:val="100000000000"/>
            <w:tcW w:w="1271" w:type="dxa"/>
          </w:tcPr>
          <w:p w14:paraId="000003F9">
            <w:pPr>
              <w:jc w:val="center"/>
              <w:rPr>
                <w:rFonts w:ascii="Times New Roman" w:cs="Times New Roman" w:hAnsi="Times New Roman"/>
              </w:rPr>
            </w:pPr>
            <w:r>
              <w:rPr>
                <w:rFonts w:ascii="Times New Roman" w:cs="Times New Roman" w:hAnsi="Times New Roman"/>
              </w:rPr>
              <w:t>Произв-сть</w:t>
            </w:r>
          </w:p>
        </w:tc>
        <w:tc>
          <w:tcPr>
            <w:cnfStyle w:val="100000000000"/>
            <w:tcW w:w="1224" w:type="dxa"/>
          </w:tcPr>
          <w:p w14:paraId="000003FA">
            <w:pPr>
              <w:jc w:val="center"/>
              <w:rPr>
                <w:rFonts w:ascii="Times New Roman" w:cs="Times New Roman" w:hAnsi="Times New Roman"/>
              </w:rPr>
            </w:pPr>
            <w:r>
              <w:rPr>
                <w:rFonts w:ascii="Times New Roman" w:cs="Times New Roman" w:hAnsi="Times New Roman"/>
              </w:rPr>
              <w:t>Потреб. мощность, кВт</w:t>
            </w:r>
          </w:p>
        </w:tc>
        <w:tc>
          <w:tcPr>
            <w:cnfStyle w:val="100000000000"/>
            <w:tcW w:w="1962" w:type="dxa"/>
          </w:tcPr>
          <w:p w14:paraId="000003FB">
            <w:pPr>
              <w:jc w:val="center"/>
              <w:rPr>
                <w:rFonts w:ascii="Times New Roman" w:cs="Times New Roman" w:hAnsi="Times New Roman"/>
              </w:rPr>
            </w:pPr>
            <w:r>
              <w:rPr>
                <w:rFonts w:ascii="Times New Roman" w:cs="Times New Roman" w:hAnsi="Times New Roman"/>
              </w:rPr>
              <w:t>Поставщик</w:t>
            </w:r>
          </w:p>
        </w:tc>
      </w:tr>
      <w:tr>
        <w:trPr>
          <w:jc w:val="center"/>
        </w:trPr>
        <w:tc>
          <w:tcPr>
            <w:cnfStyle w:val="001000100000"/>
            <w:tcW w:w="2712" w:type="dxa"/>
          </w:tcPr>
          <w:p w14:paraId="000003FC">
            <w:pPr>
              <w:jc w:val="both"/>
              <w:rPr>
                <w:rFonts w:ascii="Times New Roman" w:cs="Times New Roman" w:hAnsi="Times New Roman"/>
              </w:rPr>
            </w:pPr>
            <w:r>
              <w:rPr>
                <w:rFonts w:ascii="Times New Roman" w:cs="Times New Roman" w:hAnsi="Times New Roman"/>
              </w:rPr>
              <w:t>Пресс гидравлический «Монолит-10»</w:t>
            </w:r>
          </w:p>
        </w:tc>
        <w:tc>
          <w:tcPr>
            <w:cnfStyle w:val="000000100000"/>
            <w:tcW w:w="891" w:type="dxa"/>
          </w:tcPr>
          <w:p w14:paraId="000003FD">
            <w:pPr>
              <w:jc w:val="center"/>
              <w:rPr>
                <w:rFonts w:ascii="Times New Roman" w:cs="Times New Roman" w:hAnsi="Times New Roman"/>
              </w:rPr>
            </w:pPr>
            <w:r>
              <w:rPr>
                <w:rFonts w:ascii="Times New Roman" w:cs="Times New Roman" w:hAnsi="Times New Roman"/>
              </w:rPr>
              <w:t>1</w:t>
            </w:r>
          </w:p>
        </w:tc>
        <w:tc>
          <w:tcPr>
            <w:cnfStyle w:val="000000100000"/>
            <w:tcW w:w="1285" w:type="dxa"/>
          </w:tcPr>
          <w:p w14:paraId="000003FE">
            <w:pPr>
              <w:jc w:val="center"/>
              <w:rPr>
                <w:rFonts w:ascii="Times New Roman" w:cs="Times New Roman" w:hAnsi="Times New Roman"/>
              </w:rPr>
            </w:pPr>
            <w:r>
              <w:rPr>
                <w:rFonts w:ascii="Times New Roman" w:cs="Times New Roman" w:hAnsi="Times New Roman"/>
              </w:rPr>
              <w:t>25 000</w:t>
            </w:r>
          </w:p>
        </w:tc>
        <w:tc>
          <w:tcPr>
            <w:cnfStyle w:val="000000100000"/>
            <w:tcW w:w="1271" w:type="dxa"/>
          </w:tcPr>
          <w:p w14:paraId="000003FF">
            <w:pPr>
              <w:jc w:val="center"/>
              <w:rPr>
                <w:rFonts w:ascii="Times New Roman" w:cs="Times New Roman" w:hAnsi="Times New Roman"/>
              </w:rPr>
            </w:pPr>
            <w:r>
              <w:rPr>
                <w:rFonts w:ascii="Times New Roman" w:cs="Times New Roman" w:hAnsi="Times New Roman"/>
              </w:rPr>
              <w:t>до 10 тыс. шт./смена</w:t>
            </w:r>
          </w:p>
        </w:tc>
        <w:tc>
          <w:tcPr>
            <w:cnfStyle w:val="000000100000"/>
            <w:tcW w:w="1224" w:type="dxa"/>
          </w:tcPr>
          <w:p w14:paraId="00000400">
            <w:pPr>
              <w:jc w:val="center"/>
              <w:rPr>
                <w:rFonts w:ascii="Times New Roman" w:cs="Times New Roman" w:hAnsi="Times New Roman"/>
              </w:rPr>
            </w:pPr>
            <w:r>
              <w:rPr>
                <w:rFonts w:ascii="Times New Roman" w:cs="Times New Roman" w:hAnsi="Times New Roman"/>
              </w:rPr>
              <w:t>45</w:t>
            </w:r>
          </w:p>
        </w:tc>
        <w:tc>
          <w:tcPr>
            <w:cnfStyle w:val="000000100000"/>
            <w:tcW w:w="1962" w:type="dxa"/>
          </w:tcPr>
          <w:p w14:paraId="00000401">
            <w:pPr>
              <w:jc w:val="both"/>
              <w:rPr>
                <w:rFonts w:ascii="Times New Roman" w:cs="Times New Roman" w:hAnsi="Times New Roman"/>
              </w:rPr>
            </w:pPr>
            <w:r>
              <w:rPr>
                <w:rFonts w:ascii="Times New Roman" w:cs="Times New Roman" w:hAnsi="Times New Roman"/>
              </w:rPr>
              <w:t>ООО «Монолит» (г. Воронеж)</w:t>
            </w:r>
          </w:p>
        </w:tc>
      </w:tr>
      <w:tr>
        <w:trPr>
          <w:jc w:val="center"/>
        </w:trPr>
        <w:tc>
          <w:tcPr>
            <w:cnfStyle w:val="001000010000"/>
            <w:tcW w:w="2712" w:type="dxa"/>
          </w:tcPr>
          <w:p w14:paraId="00000402">
            <w:pPr>
              <w:jc w:val="both"/>
              <w:rPr>
                <w:rFonts w:ascii="Times New Roman" w:cs="Times New Roman" w:hAnsi="Times New Roman"/>
              </w:rPr>
            </w:pPr>
            <w:r>
              <w:rPr>
                <w:rFonts w:ascii="Times New Roman" w:cs="Times New Roman" w:hAnsi="Times New Roman"/>
              </w:rPr>
              <w:t>Смеситель двухвальный СМ-2</w:t>
            </w:r>
          </w:p>
        </w:tc>
        <w:tc>
          <w:tcPr>
            <w:cnfStyle w:val="000000010000"/>
            <w:tcW w:w="891" w:type="dxa"/>
          </w:tcPr>
          <w:p w14:paraId="00000403">
            <w:pPr>
              <w:jc w:val="center"/>
              <w:rPr>
                <w:rFonts w:ascii="Times New Roman" w:cs="Times New Roman" w:hAnsi="Times New Roman"/>
              </w:rPr>
            </w:pPr>
            <w:r>
              <w:rPr>
                <w:rFonts w:ascii="Times New Roman" w:cs="Times New Roman" w:hAnsi="Times New Roman"/>
              </w:rPr>
              <w:t>1</w:t>
            </w:r>
          </w:p>
        </w:tc>
        <w:tc>
          <w:tcPr>
            <w:cnfStyle w:val="000000010000"/>
            <w:tcW w:w="1285" w:type="dxa"/>
          </w:tcPr>
          <w:p w14:paraId="00000404">
            <w:pPr>
              <w:jc w:val="center"/>
              <w:rPr>
                <w:rFonts w:ascii="Times New Roman" w:cs="Times New Roman" w:hAnsi="Times New Roman"/>
              </w:rPr>
            </w:pPr>
            <w:r>
              <w:rPr>
                <w:rFonts w:ascii="Times New Roman" w:cs="Times New Roman" w:hAnsi="Times New Roman"/>
              </w:rPr>
              <w:t>4 500</w:t>
            </w:r>
          </w:p>
        </w:tc>
        <w:tc>
          <w:tcPr>
            <w:cnfStyle w:val="000000010000"/>
            <w:tcW w:w="1271" w:type="dxa"/>
          </w:tcPr>
          <w:p w14:paraId="00000405">
            <w:pPr>
              <w:jc w:val="center"/>
              <w:rPr>
                <w:rFonts w:ascii="Times New Roman" w:cs="Times New Roman" w:hAnsi="Times New Roman"/>
              </w:rPr>
            </w:pPr>
            <w:r>
              <w:rPr>
                <w:rFonts w:ascii="Times New Roman" w:cs="Times New Roman" w:hAnsi="Times New Roman"/>
              </w:rPr>
              <w:t>5 т/час</w:t>
            </w:r>
          </w:p>
        </w:tc>
        <w:tc>
          <w:tcPr>
            <w:cnfStyle w:val="000000010000"/>
            <w:tcW w:w="1224" w:type="dxa"/>
          </w:tcPr>
          <w:p w14:paraId="00000406">
            <w:pPr>
              <w:jc w:val="center"/>
              <w:rPr>
                <w:rFonts w:ascii="Times New Roman" w:cs="Times New Roman" w:hAnsi="Times New Roman"/>
              </w:rPr>
            </w:pPr>
            <w:r>
              <w:rPr>
                <w:rFonts w:ascii="Times New Roman" w:cs="Times New Roman" w:hAnsi="Times New Roman"/>
              </w:rPr>
              <w:t>30</w:t>
            </w:r>
          </w:p>
        </w:tc>
        <w:tc>
          <w:tcPr>
            <w:cnfStyle w:val="000000010000"/>
            <w:tcW w:w="1962" w:type="dxa"/>
          </w:tcPr>
          <w:p w14:paraId="00000407">
            <w:pPr>
              <w:jc w:val="both"/>
              <w:rPr>
                <w:rFonts w:ascii="Times New Roman" w:cs="Times New Roman" w:hAnsi="Times New Roman"/>
              </w:rPr>
            </w:pPr>
            <w:r>
              <w:rPr>
                <w:rFonts w:ascii="Times New Roman" w:cs="Times New Roman" w:hAnsi="Times New Roman"/>
              </w:rPr>
              <w:t>ООО «Стройтехника» (г. Челябинск)</w:t>
            </w:r>
          </w:p>
        </w:tc>
      </w:tr>
      <w:tr>
        <w:trPr>
          <w:jc w:val="center"/>
        </w:trPr>
        <w:tc>
          <w:tcPr>
            <w:cnfStyle w:val="001000100000"/>
            <w:tcW w:w="2712" w:type="dxa"/>
          </w:tcPr>
          <w:p w14:paraId="00000408">
            <w:pPr>
              <w:jc w:val="both"/>
              <w:rPr>
                <w:rFonts w:ascii="Times New Roman" w:cs="Times New Roman" w:hAnsi="Times New Roman"/>
              </w:rPr>
            </w:pPr>
            <w:r>
              <w:rPr>
                <w:rFonts w:ascii="Times New Roman" w:cs="Times New Roman" w:hAnsi="Times New Roman"/>
              </w:rPr>
              <w:t>Силос для цемента (50 т)</w:t>
            </w:r>
          </w:p>
        </w:tc>
        <w:tc>
          <w:tcPr>
            <w:cnfStyle w:val="000000100000"/>
            <w:tcW w:w="891" w:type="dxa"/>
          </w:tcPr>
          <w:p w14:paraId="00000409">
            <w:pPr>
              <w:jc w:val="center"/>
              <w:rPr>
                <w:rFonts w:ascii="Times New Roman" w:cs="Times New Roman" w:hAnsi="Times New Roman"/>
              </w:rPr>
            </w:pPr>
            <w:r>
              <w:rPr>
                <w:rFonts w:ascii="Times New Roman" w:cs="Times New Roman" w:hAnsi="Times New Roman"/>
              </w:rPr>
              <w:t>2</w:t>
            </w:r>
          </w:p>
        </w:tc>
        <w:tc>
          <w:tcPr>
            <w:cnfStyle w:val="000000100000"/>
            <w:tcW w:w="1285" w:type="dxa"/>
          </w:tcPr>
          <w:p w14:paraId="0000040A">
            <w:pPr>
              <w:jc w:val="center"/>
              <w:rPr>
                <w:rFonts w:ascii="Times New Roman" w:cs="Times New Roman" w:hAnsi="Times New Roman"/>
              </w:rPr>
            </w:pPr>
            <w:r>
              <w:rPr>
                <w:rFonts w:ascii="Times New Roman" w:cs="Times New Roman" w:hAnsi="Times New Roman"/>
              </w:rPr>
              <w:t>3 000 (за 2)</w:t>
            </w:r>
          </w:p>
        </w:tc>
        <w:tc>
          <w:tcPr>
            <w:cnfStyle w:val="000000100000"/>
            <w:tcW w:w="1271" w:type="dxa"/>
          </w:tcPr>
          <w:p w14:paraId="0000040B">
            <w:pPr>
              <w:jc w:val="center"/>
              <w:rPr>
                <w:rFonts w:ascii="Times New Roman" w:cs="Times New Roman" w:hAnsi="Times New Roman"/>
              </w:rPr>
            </w:pPr>
            <w:r>
              <w:rPr>
                <w:rFonts w:ascii="Times New Roman" w:cs="Times New Roman" w:hAnsi="Times New Roman"/>
              </w:rPr>
              <w:t>–</w:t>
            </w:r>
          </w:p>
        </w:tc>
        <w:tc>
          <w:tcPr>
            <w:cnfStyle w:val="000000100000"/>
            <w:tcW w:w="1224" w:type="dxa"/>
          </w:tcPr>
          <w:p w14:paraId="0000040C">
            <w:pPr>
              <w:jc w:val="center"/>
              <w:rPr>
                <w:rFonts w:ascii="Times New Roman" w:cs="Times New Roman" w:hAnsi="Times New Roman"/>
              </w:rPr>
            </w:pPr>
            <w:r>
              <w:rPr>
                <w:rFonts w:ascii="Times New Roman" w:cs="Times New Roman" w:hAnsi="Times New Roman"/>
              </w:rPr>
              <w:t>5</w:t>
            </w:r>
          </w:p>
        </w:tc>
        <w:tc>
          <w:tcPr>
            <w:cnfStyle w:val="000000100000"/>
            <w:tcW w:w="1962" w:type="dxa"/>
          </w:tcPr>
          <w:p w14:paraId="0000040D">
            <w:pPr>
              <w:jc w:val="both"/>
              <w:rPr>
                <w:rFonts w:ascii="Times New Roman" w:cs="Times New Roman" w:hAnsi="Times New Roman"/>
              </w:rPr>
            </w:pPr>
            <w:r>
              <w:rPr>
                <w:rFonts w:ascii="Times New Roman" w:cs="Times New Roman" w:hAnsi="Times New Roman"/>
              </w:rPr>
              <w:t>ООО «Технология» (г. Саратов)</w:t>
            </w:r>
          </w:p>
        </w:tc>
      </w:tr>
      <w:tr>
        <w:trPr>
          <w:jc w:val="center"/>
        </w:trPr>
        <w:tc>
          <w:tcPr>
            <w:cnfStyle w:val="001000010000"/>
            <w:tcW w:w="2712" w:type="dxa"/>
          </w:tcPr>
          <w:p w14:paraId="0000040E">
            <w:pPr>
              <w:jc w:val="both"/>
              <w:rPr>
                <w:rFonts w:ascii="Times New Roman" w:cs="Times New Roman" w:hAnsi="Times New Roman"/>
              </w:rPr>
            </w:pPr>
            <w:r>
              <w:rPr>
                <w:rFonts w:ascii="Times New Roman" w:cs="Times New Roman" w:hAnsi="Times New Roman"/>
              </w:rPr>
              <w:t>Дозатор весовой (4 компонента)</w:t>
            </w:r>
          </w:p>
        </w:tc>
        <w:tc>
          <w:tcPr>
            <w:cnfStyle w:val="000000010000"/>
            <w:tcW w:w="891" w:type="dxa"/>
          </w:tcPr>
          <w:p w14:paraId="0000040F">
            <w:pPr>
              <w:jc w:val="center"/>
              <w:rPr>
                <w:rFonts w:ascii="Times New Roman" w:cs="Times New Roman" w:hAnsi="Times New Roman"/>
              </w:rPr>
            </w:pPr>
            <w:r>
              <w:rPr>
                <w:rFonts w:ascii="Times New Roman" w:cs="Times New Roman" w:hAnsi="Times New Roman"/>
              </w:rPr>
              <w:t>1</w:t>
            </w:r>
          </w:p>
        </w:tc>
        <w:tc>
          <w:tcPr>
            <w:cnfStyle w:val="000000010000"/>
            <w:tcW w:w="1285" w:type="dxa"/>
          </w:tcPr>
          <w:p w14:paraId="00000410">
            <w:pPr>
              <w:jc w:val="center"/>
              <w:rPr>
                <w:rFonts w:ascii="Times New Roman" w:cs="Times New Roman" w:hAnsi="Times New Roman"/>
              </w:rPr>
            </w:pPr>
            <w:r>
              <w:rPr>
                <w:rFonts w:ascii="Times New Roman" w:cs="Times New Roman" w:hAnsi="Times New Roman"/>
              </w:rPr>
              <w:t>3 000</w:t>
            </w:r>
          </w:p>
        </w:tc>
        <w:tc>
          <w:tcPr>
            <w:cnfStyle w:val="000000010000"/>
            <w:tcW w:w="1271" w:type="dxa"/>
          </w:tcPr>
          <w:p w14:paraId="00000411">
            <w:pPr>
              <w:jc w:val="center"/>
              <w:rPr>
                <w:rFonts w:ascii="Times New Roman" w:cs="Times New Roman" w:hAnsi="Times New Roman"/>
              </w:rPr>
            </w:pPr>
            <w:r>
              <w:rPr>
                <w:rFonts w:ascii="Times New Roman" w:cs="Times New Roman" w:hAnsi="Times New Roman"/>
              </w:rPr>
              <w:t>–</w:t>
            </w:r>
          </w:p>
        </w:tc>
        <w:tc>
          <w:tcPr>
            <w:cnfStyle w:val="000000010000"/>
            <w:tcW w:w="1224" w:type="dxa"/>
          </w:tcPr>
          <w:p w14:paraId="00000412">
            <w:pPr>
              <w:jc w:val="center"/>
              <w:rPr>
                <w:rFonts w:ascii="Times New Roman" w:cs="Times New Roman" w:hAnsi="Times New Roman"/>
              </w:rPr>
            </w:pPr>
            <w:r>
              <w:rPr>
                <w:rFonts w:ascii="Times New Roman" w:cs="Times New Roman" w:hAnsi="Times New Roman"/>
              </w:rPr>
              <w:t>2</w:t>
            </w:r>
          </w:p>
        </w:tc>
        <w:tc>
          <w:tcPr>
            <w:cnfStyle w:val="000000010000"/>
            <w:tcW w:w="1962" w:type="dxa"/>
          </w:tcPr>
          <w:p w14:paraId="00000413">
            <w:pPr>
              <w:jc w:val="both"/>
              <w:rPr>
                <w:rFonts w:ascii="Times New Roman" w:cs="Times New Roman" w:hAnsi="Times New Roman"/>
              </w:rPr>
            </w:pPr>
            <w:r>
              <w:rPr>
                <w:rFonts w:ascii="Times New Roman" w:cs="Times New Roman" w:hAnsi="Times New Roman"/>
              </w:rPr>
              <w:t>ООО «Весоизмеритель» (г. Пенза)</w:t>
            </w:r>
          </w:p>
        </w:tc>
      </w:tr>
      <w:tr>
        <w:trPr>
          <w:jc w:val="center"/>
        </w:trPr>
        <w:tc>
          <w:tcPr>
            <w:cnfStyle w:val="001000100000"/>
            <w:tcW w:w="2712" w:type="dxa"/>
          </w:tcPr>
          <w:p w14:paraId="00000414">
            <w:pPr>
              <w:jc w:val="both"/>
              <w:rPr>
                <w:rFonts w:ascii="Times New Roman" w:cs="Times New Roman" w:hAnsi="Times New Roman"/>
              </w:rPr>
            </w:pPr>
            <w:r>
              <w:rPr>
                <w:rFonts w:ascii="Times New Roman" w:cs="Times New Roman" w:hAnsi="Times New Roman"/>
              </w:rPr>
              <w:t>Транспортер ленточный (L=10 м)</w:t>
            </w:r>
          </w:p>
        </w:tc>
        <w:tc>
          <w:tcPr>
            <w:cnfStyle w:val="000000100000"/>
            <w:tcW w:w="891" w:type="dxa"/>
          </w:tcPr>
          <w:p w14:paraId="00000415">
            <w:pPr>
              <w:jc w:val="center"/>
              <w:rPr>
                <w:rFonts w:ascii="Times New Roman" w:cs="Times New Roman" w:hAnsi="Times New Roman"/>
              </w:rPr>
            </w:pPr>
            <w:r>
              <w:rPr>
                <w:rFonts w:ascii="Times New Roman" w:cs="Times New Roman" w:hAnsi="Times New Roman"/>
              </w:rPr>
              <w:t>3</w:t>
            </w:r>
          </w:p>
        </w:tc>
        <w:tc>
          <w:tcPr>
            <w:cnfStyle w:val="000000100000"/>
            <w:tcW w:w="1285" w:type="dxa"/>
          </w:tcPr>
          <w:p w14:paraId="00000416">
            <w:pPr>
              <w:jc w:val="center"/>
              <w:rPr>
                <w:rFonts w:ascii="Times New Roman" w:cs="Times New Roman" w:hAnsi="Times New Roman"/>
              </w:rPr>
            </w:pPr>
            <w:r>
              <w:rPr>
                <w:rFonts w:ascii="Times New Roman" w:cs="Times New Roman" w:hAnsi="Times New Roman"/>
              </w:rPr>
              <w:t>1 500</w:t>
            </w:r>
          </w:p>
        </w:tc>
        <w:tc>
          <w:tcPr>
            <w:cnfStyle w:val="000000100000"/>
            <w:tcW w:w="1271" w:type="dxa"/>
          </w:tcPr>
          <w:p w14:paraId="00000417">
            <w:pPr>
              <w:jc w:val="center"/>
              <w:rPr>
                <w:rFonts w:ascii="Times New Roman" w:cs="Times New Roman" w:hAnsi="Times New Roman"/>
              </w:rPr>
            </w:pPr>
            <w:r>
              <w:rPr>
                <w:rFonts w:ascii="Times New Roman" w:cs="Times New Roman" w:hAnsi="Times New Roman"/>
              </w:rPr>
              <w:t>10 т/час</w:t>
            </w:r>
          </w:p>
        </w:tc>
        <w:tc>
          <w:tcPr>
            <w:cnfStyle w:val="000000100000"/>
            <w:tcW w:w="1224" w:type="dxa"/>
          </w:tcPr>
          <w:p w14:paraId="00000418">
            <w:pPr>
              <w:jc w:val="center"/>
              <w:rPr>
                <w:rFonts w:ascii="Times New Roman" w:cs="Times New Roman" w:hAnsi="Times New Roman"/>
              </w:rPr>
            </w:pPr>
            <w:r>
              <w:rPr>
                <w:rFonts w:ascii="Times New Roman" w:cs="Times New Roman" w:hAnsi="Times New Roman"/>
              </w:rPr>
              <w:t>3</w:t>
            </w:r>
          </w:p>
        </w:tc>
        <w:tc>
          <w:tcPr>
            <w:cnfStyle w:val="000000100000"/>
            <w:tcW w:w="1962" w:type="dxa"/>
          </w:tcPr>
          <w:p w14:paraId="00000419">
            <w:pPr>
              <w:jc w:val="both"/>
              <w:rPr>
                <w:rFonts w:ascii="Times New Roman" w:cs="Times New Roman" w:hAnsi="Times New Roman"/>
              </w:rPr>
            </w:pPr>
            <w:r>
              <w:rPr>
                <w:rFonts w:ascii="Times New Roman" w:cs="Times New Roman" w:hAnsi="Times New Roman"/>
              </w:rPr>
              <w:t>ООО «Конвейер» (г. Самара)</w:t>
            </w:r>
          </w:p>
        </w:tc>
      </w:tr>
      <w:tr>
        <w:trPr>
          <w:jc w:val="center"/>
        </w:trPr>
        <w:tc>
          <w:tcPr>
            <w:cnfStyle w:val="001000010000"/>
            <w:tcW w:w="2712" w:type="dxa"/>
          </w:tcPr>
          <w:p w14:paraId="0000041A">
            <w:pPr>
              <w:jc w:val="both"/>
              <w:rPr>
                <w:rFonts w:ascii="Times New Roman" w:cs="Times New Roman" w:hAnsi="Times New Roman"/>
              </w:rPr>
            </w:pPr>
            <w:r>
              <w:rPr>
                <w:rFonts w:ascii="Times New Roman" w:cs="Times New Roman" w:hAnsi="Times New Roman"/>
              </w:rPr>
              <w:t>Пропарочная камера (на 30 поддонов)</w:t>
            </w:r>
          </w:p>
        </w:tc>
        <w:tc>
          <w:tcPr>
            <w:cnfStyle w:val="000000010000"/>
            <w:tcW w:w="891" w:type="dxa"/>
          </w:tcPr>
          <w:p w14:paraId="0000041B">
            <w:pPr>
              <w:jc w:val="center"/>
              <w:rPr>
                <w:rFonts w:ascii="Times New Roman" w:cs="Times New Roman" w:hAnsi="Times New Roman"/>
              </w:rPr>
            </w:pPr>
            <w:r>
              <w:rPr>
                <w:rFonts w:ascii="Times New Roman" w:cs="Times New Roman" w:hAnsi="Times New Roman"/>
              </w:rPr>
              <w:t>1</w:t>
            </w:r>
          </w:p>
        </w:tc>
        <w:tc>
          <w:tcPr>
            <w:cnfStyle w:val="000000010000"/>
            <w:tcW w:w="1285" w:type="dxa"/>
          </w:tcPr>
          <w:p w14:paraId="0000041C">
            <w:pPr>
              <w:jc w:val="center"/>
              <w:rPr>
                <w:rFonts w:ascii="Times New Roman" w:cs="Times New Roman" w:hAnsi="Times New Roman"/>
              </w:rPr>
            </w:pPr>
            <w:r>
              <w:rPr>
                <w:rFonts w:ascii="Times New Roman" w:cs="Times New Roman" w:hAnsi="Times New Roman"/>
              </w:rPr>
              <w:t>5 000</w:t>
            </w:r>
          </w:p>
        </w:tc>
        <w:tc>
          <w:tcPr>
            <w:cnfStyle w:val="000000010000"/>
            <w:tcW w:w="1271" w:type="dxa"/>
          </w:tcPr>
          <w:p w14:paraId="0000041D">
            <w:pPr>
              <w:jc w:val="center"/>
              <w:rPr>
                <w:rFonts w:ascii="Times New Roman" w:cs="Times New Roman" w:hAnsi="Times New Roman"/>
              </w:rPr>
            </w:pPr>
            <w:r>
              <w:rPr>
                <w:rFonts w:ascii="Times New Roman" w:cs="Times New Roman" w:hAnsi="Times New Roman"/>
              </w:rPr>
              <w:t>30 поддонов/</w:t>
            </w:r>
          </w:p>
          <w:p w14:paraId="0000041E">
            <w:pPr>
              <w:jc w:val="center"/>
              <w:rPr>
                <w:rFonts w:ascii="Times New Roman" w:cs="Times New Roman" w:hAnsi="Times New Roman"/>
              </w:rPr>
            </w:pPr>
            <w:r>
              <w:rPr>
                <w:rFonts w:ascii="Times New Roman" w:cs="Times New Roman" w:hAnsi="Times New Roman"/>
              </w:rPr>
              <w:t>цикл</w:t>
            </w:r>
          </w:p>
        </w:tc>
        <w:tc>
          <w:tcPr>
            <w:cnfStyle w:val="000000010000"/>
            <w:tcW w:w="1224" w:type="dxa"/>
          </w:tcPr>
          <w:p w14:paraId="0000041F">
            <w:pPr>
              <w:jc w:val="center"/>
              <w:rPr>
                <w:rFonts w:ascii="Times New Roman" w:cs="Times New Roman" w:hAnsi="Times New Roman"/>
              </w:rPr>
            </w:pPr>
            <w:r>
              <w:rPr>
                <w:rFonts w:ascii="Times New Roman" w:cs="Times New Roman" w:hAnsi="Times New Roman"/>
              </w:rPr>
              <w:t>40</w:t>
            </w:r>
          </w:p>
        </w:tc>
        <w:tc>
          <w:tcPr>
            <w:cnfStyle w:val="000000010000"/>
            <w:tcW w:w="1962" w:type="dxa"/>
          </w:tcPr>
          <w:p w14:paraId="00000420">
            <w:pPr>
              <w:jc w:val="both"/>
              <w:rPr>
                <w:rFonts w:ascii="Times New Roman" w:cs="Times New Roman" w:hAnsi="Times New Roman"/>
              </w:rPr>
            </w:pPr>
            <w:r>
              <w:rPr>
                <w:rFonts w:ascii="Times New Roman" w:cs="Times New Roman" w:hAnsi="Times New Roman"/>
              </w:rPr>
              <w:t>ООО «Теплотехника» (г. Пенза)</w:t>
            </w:r>
          </w:p>
        </w:tc>
      </w:tr>
      <w:tr>
        <w:trPr>
          <w:jc w:val="center"/>
        </w:trPr>
        <w:tc>
          <w:tcPr>
            <w:cnfStyle w:val="001000100000"/>
            <w:tcW w:w="2712" w:type="dxa"/>
          </w:tcPr>
          <w:p w14:paraId="00000421">
            <w:pPr>
              <w:jc w:val="both"/>
              <w:rPr>
                <w:rFonts w:ascii="Times New Roman" w:cs="Times New Roman" w:hAnsi="Times New Roman"/>
              </w:rPr>
            </w:pPr>
            <w:r>
              <w:rPr>
                <w:rFonts w:ascii="Times New Roman" w:cs="Times New Roman" w:hAnsi="Times New Roman"/>
              </w:rPr>
              <w:t>Вилочный погрузчик (грузоподъёмность 2 т)</w:t>
            </w:r>
          </w:p>
        </w:tc>
        <w:tc>
          <w:tcPr>
            <w:cnfStyle w:val="000000100000"/>
            <w:tcW w:w="891" w:type="dxa"/>
          </w:tcPr>
          <w:p w14:paraId="00000422">
            <w:pPr>
              <w:jc w:val="center"/>
              <w:rPr>
                <w:rFonts w:ascii="Times New Roman" w:cs="Times New Roman" w:hAnsi="Times New Roman"/>
              </w:rPr>
            </w:pPr>
            <w:r>
              <w:rPr>
                <w:rFonts w:ascii="Times New Roman" w:cs="Times New Roman" w:hAnsi="Times New Roman"/>
              </w:rPr>
              <w:t>1</w:t>
            </w:r>
          </w:p>
        </w:tc>
        <w:tc>
          <w:tcPr>
            <w:cnfStyle w:val="000000100000"/>
            <w:tcW w:w="1285" w:type="dxa"/>
          </w:tcPr>
          <w:p w14:paraId="00000423">
            <w:pPr>
              <w:jc w:val="center"/>
              <w:rPr>
                <w:rFonts w:ascii="Times New Roman" w:cs="Times New Roman" w:hAnsi="Times New Roman"/>
              </w:rPr>
            </w:pPr>
            <w:r>
              <w:rPr>
                <w:rFonts w:ascii="Times New Roman" w:cs="Times New Roman" w:hAnsi="Times New Roman"/>
              </w:rPr>
              <w:t>3 000</w:t>
            </w:r>
          </w:p>
        </w:tc>
        <w:tc>
          <w:tcPr>
            <w:cnfStyle w:val="000000100000"/>
            <w:tcW w:w="1271" w:type="dxa"/>
          </w:tcPr>
          <w:p w14:paraId="00000424">
            <w:pPr>
              <w:jc w:val="center"/>
              <w:rPr>
                <w:rFonts w:ascii="Times New Roman" w:cs="Times New Roman" w:hAnsi="Times New Roman"/>
              </w:rPr>
            </w:pPr>
            <w:r>
              <w:rPr>
                <w:rFonts w:ascii="Times New Roman" w:cs="Times New Roman" w:hAnsi="Times New Roman"/>
              </w:rPr>
              <w:t>–</w:t>
            </w:r>
          </w:p>
        </w:tc>
        <w:tc>
          <w:tcPr>
            <w:cnfStyle w:val="000000100000"/>
            <w:tcW w:w="1224" w:type="dxa"/>
          </w:tcPr>
          <w:p w14:paraId="00000425">
            <w:pPr>
              <w:jc w:val="center"/>
              <w:rPr>
                <w:rFonts w:ascii="Times New Roman" w:cs="Times New Roman" w:hAnsi="Times New Roman"/>
              </w:rPr>
            </w:pPr>
            <w:r>
              <w:rPr>
                <w:rFonts w:ascii="Times New Roman" w:cs="Times New Roman" w:hAnsi="Times New Roman"/>
              </w:rPr>
              <w:t>15</w:t>
            </w:r>
          </w:p>
        </w:tc>
        <w:tc>
          <w:tcPr>
            <w:cnfStyle w:val="000000100000"/>
            <w:tcW w:w="1962" w:type="dxa"/>
          </w:tcPr>
          <w:p w14:paraId="00000426">
            <w:pPr>
              <w:jc w:val="both"/>
              <w:rPr>
                <w:rFonts w:ascii="Times New Roman" w:cs="Times New Roman" w:hAnsi="Times New Roman"/>
              </w:rPr>
            </w:pPr>
            <w:r>
              <w:rPr>
                <w:rFonts w:ascii="Times New Roman" w:cs="Times New Roman" w:hAnsi="Times New Roman"/>
              </w:rPr>
              <w:t>«Балткран» (г. Москва)</w:t>
            </w:r>
          </w:p>
        </w:tc>
      </w:tr>
      <w:tr>
        <w:trPr>
          <w:jc w:val="center"/>
        </w:trPr>
        <w:tc>
          <w:tcPr>
            <w:cnfStyle w:val="001000010000"/>
            <w:tcW w:w="2712" w:type="dxa"/>
          </w:tcPr>
          <w:p w14:paraId="00000427">
            <w:pPr>
              <w:jc w:val="both"/>
              <w:rPr>
                <w:rFonts w:ascii="Times New Roman" w:cs="Times New Roman" w:hAnsi="Times New Roman"/>
              </w:rPr>
            </w:pPr>
            <w:r>
              <w:rPr>
                <w:rFonts w:ascii="Times New Roman" w:cs="Times New Roman" w:hAnsi="Times New Roman"/>
              </w:rPr>
              <w:t>Лабораторное оборудование (пресс, сушильный шкаф, весы, камера мороза)</w:t>
            </w:r>
          </w:p>
        </w:tc>
        <w:tc>
          <w:tcPr>
            <w:cnfStyle w:val="000000010000"/>
            <w:tcW w:w="891" w:type="dxa"/>
          </w:tcPr>
          <w:p w14:paraId="00000428">
            <w:pPr>
              <w:jc w:val="center"/>
              <w:rPr>
                <w:rFonts w:ascii="Times New Roman" w:cs="Times New Roman" w:hAnsi="Times New Roman"/>
              </w:rPr>
            </w:pPr>
            <w:r>
              <w:rPr>
                <w:rFonts w:ascii="Times New Roman" w:cs="Times New Roman" w:hAnsi="Times New Roman"/>
              </w:rPr>
              <w:t>1</w:t>
            </w:r>
          </w:p>
        </w:tc>
        <w:tc>
          <w:tcPr>
            <w:cnfStyle w:val="000000010000"/>
            <w:tcW w:w="1285" w:type="dxa"/>
          </w:tcPr>
          <w:p w14:paraId="00000429">
            <w:pPr>
              <w:jc w:val="center"/>
              <w:rPr>
                <w:rFonts w:ascii="Times New Roman" w:cs="Times New Roman" w:hAnsi="Times New Roman"/>
              </w:rPr>
            </w:pPr>
            <w:r>
              <w:rPr>
                <w:rFonts w:ascii="Times New Roman" w:cs="Times New Roman" w:hAnsi="Times New Roman"/>
              </w:rPr>
              <w:t>2 000</w:t>
            </w:r>
          </w:p>
        </w:tc>
        <w:tc>
          <w:tcPr>
            <w:cnfStyle w:val="000000010000"/>
            <w:tcW w:w="1271" w:type="dxa"/>
          </w:tcPr>
          <w:p w14:paraId="0000042A">
            <w:pPr>
              <w:jc w:val="center"/>
              <w:rPr>
                <w:rFonts w:ascii="Times New Roman" w:cs="Times New Roman" w:hAnsi="Times New Roman"/>
              </w:rPr>
            </w:pPr>
            <w:r>
              <w:rPr>
                <w:rFonts w:ascii="Times New Roman" w:cs="Times New Roman" w:hAnsi="Times New Roman"/>
              </w:rPr>
              <w:t>–</w:t>
            </w:r>
          </w:p>
        </w:tc>
        <w:tc>
          <w:tcPr>
            <w:cnfStyle w:val="000000010000"/>
            <w:tcW w:w="1224" w:type="dxa"/>
          </w:tcPr>
          <w:p w14:paraId="0000042B">
            <w:pPr>
              <w:jc w:val="center"/>
              <w:rPr>
                <w:rFonts w:ascii="Times New Roman" w:cs="Times New Roman" w:hAnsi="Times New Roman"/>
              </w:rPr>
            </w:pPr>
            <w:r>
              <w:rPr>
                <w:rFonts w:ascii="Times New Roman" w:cs="Times New Roman" w:hAnsi="Times New Roman"/>
              </w:rPr>
              <w:t>5</w:t>
            </w:r>
          </w:p>
        </w:tc>
        <w:tc>
          <w:tcPr>
            <w:cnfStyle w:val="000000010000"/>
            <w:tcW w:w="1962" w:type="dxa"/>
          </w:tcPr>
          <w:p w14:paraId="0000042C">
            <w:pPr>
              <w:jc w:val="both"/>
              <w:rPr>
                <w:rFonts w:ascii="Times New Roman" w:cs="Times New Roman" w:hAnsi="Times New Roman"/>
              </w:rPr>
            </w:pPr>
            <w:r>
              <w:rPr>
                <w:rFonts w:ascii="Times New Roman" w:cs="Times New Roman" w:hAnsi="Times New Roman"/>
              </w:rPr>
              <w:t>ООО «ЛабТех» (г. Пенза)</w:t>
            </w:r>
          </w:p>
        </w:tc>
      </w:tr>
      <w:tr>
        <w:trPr>
          <w:jc w:val="center"/>
        </w:trPr>
        <w:tc>
          <w:tcPr>
            <w:cnfStyle w:val="001000100000"/>
            <w:tcW w:w="2712" w:type="dxa"/>
          </w:tcPr>
          <w:p w14:paraId="0000042D">
            <w:pPr>
              <w:jc w:val="both"/>
              <w:rPr>
                <w:rFonts w:ascii="Times New Roman" w:cs="Times New Roman" w:hAnsi="Times New Roman"/>
              </w:rPr>
            </w:pPr>
            <w:r>
              <w:rPr>
                <w:rFonts w:ascii="Times New Roman" w:cs="Times New Roman" w:hAnsi="Times New Roman"/>
                <w:bCs/>
              </w:rPr>
              <w:t>Итого</w:t>
            </w:r>
          </w:p>
        </w:tc>
        <w:tc>
          <w:tcPr>
            <w:cnfStyle w:val="000000100000"/>
            <w:tcW w:w="891" w:type="dxa"/>
          </w:tcPr>
          <w:p w14:paraId="0000042E">
            <w:pPr>
              <w:jc w:val="center"/>
              <w:rPr>
                <w:rFonts w:ascii="Times New Roman" w:cs="Times New Roman" w:hAnsi="Times New Roman"/>
              </w:rPr>
            </w:pPr>
          </w:p>
        </w:tc>
        <w:tc>
          <w:tcPr>
            <w:cnfStyle w:val="000000100000"/>
            <w:tcW w:w="1285" w:type="dxa"/>
          </w:tcPr>
          <w:p w14:paraId="0000042F">
            <w:pPr>
              <w:jc w:val="center"/>
              <w:rPr>
                <w:rFonts w:ascii="Times New Roman" w:cs="Times New Roman" w:hAnsi="Times New Roman"/>
              </w:rPr>
            </w:pPr>
            <w:r>
              <w:rPr>
                <w:rFonts w:ascii="Times New Roman" w:cs="Times New Roman" w:hAnsi="Times New Roman"/>
                <w:bCs/>
              </w:rPr>
              <w:t>47 000</w:t>
            </w:r>
          </w:p>
        </w:tc>
        <w:tc>
          <w:tcPr>
            <w:cnfStyle w:val="000000100000"/>
            <w:tcW w:w="1271" w:type="dxa"/>
          </w:tcPr>
          <w:p w14:paraId="00000430">
            <w:pPr>
              <w:jc w:val="center"/>
              <w:rPr>
                <w:rFonts w:ascii="Times New Roman" w:cs="Times New Roman" w:hAnsi="Times New Roman"/>
              </w:rPr>
            </w:pPr>
          </w:p>
        </w:tc>
        <w:tc>
          <w:tcPr>
            <w:cnfStyle w:val="000000100000"/>
            <w:tcW w:w="1224" w:type="dxa"/>
          </w:tcPr>
          <w:p w14:paraId="00000431">
            <w:pPr>
              <w:jc w:val="center"/>
              <w:rPr>
                <w:rFonts w:ascii="Times New Roman" w:cs="Times New Roman" w:hAnsi="Times New Roman"/>
              </w:rPr>
            </w:pPr>
            <w:r>
              <w:rPr>
                <w:rFonts w:ascii="Times New Roman" w:cs="Times New Roman" w:hAnsi="Times New Roman"/>
                <w:bCs/>
              </w:rPr>
              <w:t>145</w:t>
            </w:r>
          </w:p>
        </w:tc>
        <w:tc>
          <w:tcPr>
            <w:cnfStyle w:val="000000100000"/>
            <w:tcW w:w="1962" w:type="dxa"/>
          </w:tcPr>
          <w:p w14:paraId="00000432">
            <w:pPr>
              <w:jc w:val="center"/>
              <w:rPr>
                <w:rFonts w:ascii="Times New Roman" w:cs="Times New Roman" w:hAnsi="Times New Roman"/>
              </w:rPr>
            </w:pPr>
          </w:p>
        </w:tc>
      </w:tr>
    </w:tbl>
    <w:p w14:paraId="00000433">
      <w:pPr>
        <w:spacing w:beforeAutospacing="0" w:after="0" w:afterAutospacing="0" w:line="360" w:lineRule="auto"/>
        <w:ind w:firstLine="709"/>
        <w:jc w:val="both"/>
        <w:rPr>
          <w:rFonts w:ascii="Times New Roman" w:cs="Times New Roman" w:hAnsi="Times New Roman"/>
          <w:i/>
          <w:iCs/>
          <w:sz w:val="28"/>
          <w:szCs w:val="28"/>
        </w:rPr>
      </w:pPr>
    </w:p>
    <w:p w14:paraId="0000043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Часть оборудования (дозаторы, пропарочная камера) производится в Пензе, что обеспечивает быструю доставку и сервис. Суммарная установленная мощность оборудования – 145 кВт, что потребует оформления </w:t>
      </w:r>
      <w:r>
        <w:rPr>
          <w:rFonts w:ascii="Times New Roman" w:cs="Times New Roman" w:hAnsi="Times New Roman"/>
          <w:sz w:val="28"/>
          <w:szCs w:val="28"/>
        </w:rPr>
        <w:t>соответствующих мощностей у ресурсоснабжающей организации (ПАО «Россети Волга»).</w:t>
      </w:r>
    </w:p>
    <w:p w14:paraId="0000043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Контроль качества </w:t>
      </w:r>
      <w:r>
        <w:rPr>
          <w:rFonts w:ascii="Times New Roman" w:cs="Times New Roman" w:hAnsi="Times New Roman"/>
          <w:sz w:val="28"/>
          <w:szCs w:val="28"/>
        </w:rPr>
        <w:t>в организации происходит</w:t>
      </w:r>
      <w:r>
        <w:rPr>
          <w:rFonts w:ascii="Times New Roman" w:cs="Times New Roman" w:hAnsi="Times New Roman"/>
          <w:sz w:val="28"/>
          <w:szCs w:val="28"/>
        </w:rPr>
        <w:t xml:space="preserve"> на трёх уровнях: входной, операционный и приёмочный.</w:t>
      </w:r>
    </w:p>
    <w:p w14:paraId="0000043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Входной контроль (сырьё и материалы).</w:t>
      </w:r>
      <w:r>
        <w:rPr>
          <w:rFonts w:ascii="Times New Roman" w:cs="Times New Roman" w:hAnsi="Times New Roman"/>
          <w:sz w:val="28"/>
          <w:szCs w:val="28"/>
        </w:rPr>
        <w:t> При поступлении цемента проверяются паспорт качества и сертификат соответствия. При поступлении отсевов контролируется влажность (не более 5%) и фракционный состав (ситовой анализ, фракция 0–5 мм). При выявлении несоответствий партия возвращается поставщику или используется с корректировкой рецептуры (при допустимых отклонениях). Добавки и пигменты проверяются на соответствие паспортным данным.</w:t>
      </w:r>
    </w:p>
    <w:p w14:paraId="0000043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Операционный контроль (в процессе производства).</w:t>
      </w:r>
      <w:r>
        <w:rPr>
          <w:rFonts w:ascii="Times New Roman" w:cs="Times New Roman" w:hAnsi="Times New Roman"/>
          <w:sz w:val="28"/>
          <w:szCs w:val="28"/>
        </w:rPr>
        <w:t> Каждые 30 минут отбираются образцы «сырца» для контроля геометрических размеров (штангенциркулем). Проверяется давление прессования по показаниям манометра. Визуально осматривается лицевая поверхность кирпича – не допускаются трещины, сколы, известковые включения, неравномерность окраски. Контролируется температура смеси (должна быть не ниже +10°С в зимний период). Результаты заносятся в журнал операционного контроля.</w:t>
      </w:r>
    </w:p>
    <w:p w14:paraId="0000043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Приёмочный контроль (готовой продукции).</w:t>
      </w:r>
      <w:r>
        <w:rPr>
          <w:rFonts w:ascii="Times New Roman" w:cs="Times New Roman" w:hAnsi="Times New Roman"/>
          <w:sz w:val="28"/>
          <w:szCs w:val="28"/>
        </w:rPr>
        <w:t> Из каждой партии (не более 50 тыс. шт.) отбираются образцы для испытаний. Определяются: прочность на сжатие (испытание на прессе – не менее 5 образцов от партии), водопоглощение (взвешивание до и после вымачивания в воде в течение 48 часов), геометрические размеры (не менее 10 образцов). Морозостойкость определяется 1 раз в квартал в аккредитованной лаборатории – для этого предприятие заключает договор с Пензенским центром стандартизации и метрологии (Пензенский ЦСМ) или с лабораторией Пензенского государственного университета архитектуры и строительства (ПГУАС). Также 1 раз в полугодие проводится контроль удельной эффективной активности естественных радионуклидов.</w:t>
      </w:r>
    </w:p>
    <w:p w14:paraId="0000043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Особое внимание уделяется контролю прочности (каждая партия) и морозостойкости (ежеквартально). Для проведения испытаний предприятие оснащается собственной лабораторией (пресс, весы, сушильный шкаф), что позволяет оперативно контролировать качество.</w:t>
      </w:r>
    </w:p>
    <w:p w14:paraId="0000043A">
      <w:pPr>
        <w:spacing w:beforeAutospacing="0" w:after="0" w:afterAutospacing="0" w:line="360" w:lineRule="auto"/>
        <w:jc w:val="both"/>
        <w:rPr>
          <w:rFonts w:ascii="Times New Roman" w:cs="Times New Roman" w:hAnsi="Times New Roman"/>
          <w:sz w:val="28"/>
          <w:szCs w:val="28"/>
          <w:highlight w:val="none"/>
        </w:rPr>
      </w:pPr>
      <w:r>
        <w:rPr>
          <w:rFonts w:ascii="Times New Roman" w:cs="Times New Roman" w:hAnsi="Times New Roman"/>
          <w:bCs/>
          <w:sz w:val="28"/>
          <w:szCs w:val="28"/>
          <w:highlight w:val="none"/>
        </w:rPr>
        <w:t>Таблица 3.4 – Показатели качества гиперпрессованного кирпича и методы контроля</w:t>
      </w:r>
    </w:p>
    <w:tbl>
      <w:tblPr>
        <w:tblStyle w:val="TableGrid"/>
        <w:tblW w:w="9355" w:type="dxa"/>
        <w:tblInd w:w="135" w:type="dxa"/>
        <w:tblLook w:val="04A0"/>
      </w:tblPr>
      <w:tblGrid>
        <w:gridCol w:w="1686"/>
        <w:gridCol w:w="1288"/>
        <w:gridCol w:w="1753"/>
        <w:gridCol w:w="1619"/>
        <w:gridCol w:w="1707"/>
        <w:gridCol w:w="1302"/>
      </w:tblGrid>
      <w:tr>
        <w:trPr/>
        <w:tc>
          <w:tcPr>
            <w:cnfStyle w:val="101000000000"/>
            <w:tcW w:w="1686" w:type="dxa"/>
          </w:tcPr>
          <w:p w14:paraId="0000043B">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Показатель</w:t>
            </w:r>
          </w:p>
        </w:tc>
        <w:tc>
          <w:tcPr>
            <w:cnfStyle w:val="100000000000"/>
            <w:tcW w:w="1288" w:type="dxa"/>
          </w:tcPr>
          <w:p w14:paraId="0000043C">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Норма по ГОСТ 6133-2019</w:t>
            </w:r>
          </w:p>
        </w:tc>
        <w:tc>
          <w:tcPr>
            <w:cnfStyle w:val="100000000000"/>
            <w:tcW w:w="1753" w:type="dxa"/>
          </w:tcPr>
          <w:p w14:paraId="0000043D">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Метод контроля</w:t>
            </w:r>
          </w:p>
        </w:tc>
        <w:tc>
          <w:tcPr>
            <w:cnfStyle w:val="100000000000"/>
            <w:tcW w:w="1619" w:type="dxa"/>
          </w:tcPr>
          <w:p w14:paraId="0000043E">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Периодичность</w:t>
            </w:r>
          </w:p>
        </w:tc>
        <w:tc>
          <w:tcPr>
            <w:cnfStyle w:val="100000000000"/>
            <w:tcW w:w="1707" w:type="dxa"/>
          </w:tcPr>
          <w:p w14:paraId="0000043F">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Оборудование</w:t>
            </w:r>
          </w:p>
        </w:tc>
        <w:tc>
          <w:tcPr>
            <w:cnfStyle w:val="100000000000"/>
            <w:tcW w:w="1302" w:type="dxa"/>
          </w:tcPr>
          <w:p w14:paraId="00000440">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Ответствен-</w:t>
            </w:r>
          </w:p>
          <w:p w14:paraId="00000441">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ный</w:t>
            </w:r>
          </w:p>
        </w:tc>
      </w:tr>
      <w:tr>
        <w:trPr/>
        <w:tc>
          <w:tcPr>
            <w:cnfStyle w:val="001000100000"/>
            <w:tcW w:w="1686" w:type="dxa"/>
          </w:tcPr>
          <w:p w14:paraId="00000442">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Прочность на сжатие</w:t>
            </w:r>
          </w:p>
        </w:tc>
        <w:tc>
          <w:tcPr>
            <w:cnfStyle w:val="000000100000"/>
            <w:tcW w:w="1288" w:type="dxa"/>
          </w:tcPr>
          <w:p w14:paraId="00000443">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Не менее М150 (для марок М150 и выше)</w:t>
            </w:r>
          </w:p>
        </w:tc>
        <w:tc>
          <w:tcPr>
            <w:cnfStyle w:val="000000100000"/>
            <w:tcW w:w="1753" w:type="dxa"/>
          </w:tcPr>
          <w:p w14:paraId="00000444">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Испытание прессом образцов-кубов</w:t>
            </w:r>
          </w:p>
        </w:tc>
        <w:tc>
          <w:tcPr>
            <w:cnfStyle w:val="000000100000"/>
            <w:tcW w:w="1619" w:type="dxa"/>
          </w:tcPr>
          <w:p w14:paraId="00000445">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Каждая партия</w:t>
            </w:r>
          </w:p>
        </w:tc>
        <w:tc>
          <w:tcPr>
            <w:cnfStyle w:val="000000100000"/>
            <w:tcW w:w="1707" w:type="dxa"/>
          </w:tcPr>
          <w:p w14:paraId="00000446">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Лабораторный пресс 30 т</w:t>
            </w:r>
          </w:p>
        </w:tc>
        <w:tc>
          <w:tcPr>
            <w:cnfStyle w:val="000000100000"/>
            <w:tcW w:w="1302" w:type="dxa"/>
          </w:tcPr>
          <w:p w14:paraId="00000447">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Технолог</w:t>
            </w:r>
          </w:p>
        </w:tc>
      </w:tr>
      <w:tr>
        <w:trPr/>
        <w:tc>
          <w:tcPr>
            <w:cnfStyle w:val="001000010000"/>
            <w:tcW w:w="1686" w:type="dxa"/>
          </w:tcPr>
          <w:p w14:paraId="00000448">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Морозо-</w:t>
            </w:r>
          </w:p>
          <w:p w14:paraId="00000449">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стойкость</w:t>
            </w:r>
          </w:p>
        </w:tc>
        <w:tc>
          <w:tcPr>
            <w:cnfStyle w:val="000000010000"/>
            <w:tcW w:w="1288" w:type="dxa"/>
          </w:tcPr>
          <w:p w14:paraId="0000044A">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Не менее F50 (для лицевого)</w:t>
            </w:r>
          </w:p>
        </w:tc>
        <w:tc>
          <w:tcPr>
            <w:cnfStyle w:val="000000010000"/>
            <w:tcW w:w="1753" w:type="dxa"/>
          </w:tcPr>
          <w:p w14:paraId="0000044B">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Попеременное замораживание и оттаивание</w:t>
            </w:r>
          </w:p>
        </w:tc>
        <w:tc>
          <w:tcPr>
            <w:cnfStyle w:val="000000010000"/>
            <w:tcW w:w="1619" w:type="dxa"/>
          </w:tcPr>
          <w:p w14:paraId="0000044C">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1 раз в квартал</w:t>
            </w:r>
          </w:p>
        </w:tc>
        <w:tc>
          <w:tcPr>
            <w:cnfStyle w:val="000000010000"/>
            <w:tcW w:w="1707" w:type="dxa"/>
          </w:tcPr>
          <w:p w14:paraId="0000044D">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Камера морозостойкости</w:t>
            </w:r>
          </w:p>
        </w:tc>
        <w:tc>
          <w:tcPr>
            <w:cnfStyle w:val="000000010000"/>
            <w:tcW w:w="1302" w:type="dxa"/>
          </w:tcPr>
          <w:p w14:paraId="0000044E">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Аккредит. лаборатория</w:t>
            </w:r>
          </w:p>
        </w:tc>
      </w:tr>
      <w:tr>
        <w:trPr/>
        <w:tc>
          <w:tcPr>
            <w:cnfStyle w:val="001000100000"/>
            <w:tcW w:w="1686" w:type="dxa"/>
          </w:tcPr>
          <w:p w14:paraId="0000044F">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Водопоглощение</w:t>
            </w:r>
          </w:p>
        </w:tc>
        <w:tc>
          <w:tcPr>
            <w:cnfStyle w:val="000000100000"/>
            <w:tcW w:w="1288" w:type="dxa"/>
          </w:tcPr>
          <w:p w14:paraId="00000450">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10–14%</w:t>
            </w:r>
          </w:p>
        </w:tc>
        <w:tc>
          <w:tcPr>
            <w:cnfStyle w:val="000000100000"/>
            <w:tcW w:w="1753" w:type="dxa"/>
          </w:tcPr>
          <w:p w14:paraId="00000451">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Взвешивание до и после вымачивания</w:t>
            </w:r>
          </w:p>
        </w:tc>
        <w:tc>
          <w:tcPr>
            <w:cnfStyle w:val="000000100000"/>
            <w:tcW w:w="1619" w:type="dxa"/>
          </w:tcPr>
          <w:p w14:paraId="00000452">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1 раз в месяц</w:t>
            </w:r>
          </w:p>
        </w:tc>
        <w:tc>
          <w:tcPr>
            <w:cnfStyle w:val="000000100000"/>
            <w:tcW w:w="1707" w:type="dxa"/>
          </w:tcPr>
          <w:p w14:paraId="00000453">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Весы лабораторные, сушильный шкаф</w:t>
            </w:r>
          </w:p>
        </w:tc>
        <w:tc>
          <w:tcPr>
            <w:cnfStyle w:val="000000100000"/>
            <w:tcW w:w="1302" w:type="dxa"/>
          </w:tcPr>
          <w:p w14:paraId="00000454">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Технолог</w:t>
            </w:r>
          </w:p>
        </w:tc>
      </w:tr>
      <w:tr>
        <w:trPr/>
        <w:tc>
          <w:tcPr>
            <w:cnfStyle w:val="001000010000"/>
            <w:tcW w:w="1686" w:type="dxa"/>
          </w:tcPr>
          <w:p w14:paraId="00000455">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Геометрические размеры</w:t>
            </w:r>
          </w:p>
        </w:tc>
        <w:tc>
          <w:tcPr>
            <w:cnfStyle w:val="000000010000"/>
            <w:tcW w:w="1288" w:type="dxa"/>
          </w:tcPr>
          <w:p w14:paraId="00000456">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Длина ±2 мм, ширина ±1,5 мм</w:t>
            </w:r>
          </w:p>
        </w:tc>
        <w:tc>
          <w:tcPr>
            <w:cnfStyle w:val="000000010000"/>
            <w:tcW w:w="1753" w:type="dxa"/>
          </w:tcPr>
          <w:p w14:paraId="00000457">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Штангенциркуль, контрольная рамка</w:t>
            </w:r>
          </w:p>
        </w:tc>
        <w:tc>
          <w:tcPr>
            <w:cnfStyle w:val="000000010000"/>
            <w:tcW w:w="1619" w:type="dxa"/>
          </w:tcPr>
          <w:p w14:paraId="00000458">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Каждая партия (выборочно 10 шт.)</w:t>
            </w:r>
          </w:p>
        </w:tc>
        <w:tc>
          <w:tcPr>
            <w:cnfStyle w:val="000000010000"/>
            <w:tcW w:w="1707" w:type="dxa"/>
          </w:tcPr>
          <w:p w14:paraId="00000459">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Штангенциркуль ШЦ-1, рамка</w:t>
            </w:r>
          </w:p>
        </w:tc>
        <w:tc>
          <w:tcPr>
            <w:cnfStyle w:val="000000010000"/>
            <w:tcW w:w="1302" w:type="dxa"/>
          </w:tcPr>
          <w:p w14:paraId="0000045A">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Мастер ОТК</w:t>
            </w:r>
          </w:p>
        </w:tc>
      </w:tr>
      <w:tr>
        <w:trPr/>
        <w:tc>
          <w:tcPr>
            <w:cnfStyle w:val="001000100000"/>
            <w:tcW w:w="1686" w:type="dxa"/>
          </w:tcPr>
          <w:p w14:paraId="0000045B">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Внешний вид</w:t>
            </w:r>
          </w:p>
        </w:tc>
        <w:tc>
          <w:tcPr>
            <w:cnfStyle w:val="000000100000"/>
            <w:tcW w:w="1288" w:type="dxa"/>
          </w:tcPr>
          <w:p w14:paraId="0000045C">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Без сколов, трещин, известковых включений</w:t>
            </w:r>
          </w:p>
        </w:tc>
        <w:tc>
          <w:tcPr>
            <w:cnfStyle w:val="000000100000"/>
            <w:tcW w:w="1753" w:type="dxa"/>
          </w:tcPr>
          <w:p w14:paraId="0000045D">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Визуальный осмотр</w:t>
            </w:r>
          </w:p>
        </w:tc>
        <w:tc>
          <w:tcPr>
            <w:cnfStyle w:val="000000100000"/>
            <w:tcW w:w="1619" w:type="dxa"/>
          </w:tcPr>
          <w:p w14:paraId="0000045E">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Каждая единица (100%)</w:t>
            </w:r>
          </w:p>
        </w:tc>
        <w:tc>
          <w:tcPr>
            <w:cnfStyle w:val="000000100000"/>
            <w:tcW w:w="1707" w:type="dxa"/>
          </w:tcPr>
          <w:p w14:paraId="0000045F">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w:t>
            </w:r>
          </w:p>
        </w:tc>
        <w:tc>
          <w:tcPr>
            <w:cnfStyle w:val="000000100000"/>
            <w:tcW w:w="1302" w:type="dxa"/>
          </w:tcPr>
          <w:p w14:paraId="00000460">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Мастер ОТК</w:t>
            </w:r>
          </w:p>
        </w:tc>
      </w:tr>
      <w:tr>
        <w:trPr/>
        <w:tc>
          <w:tcPr>
            <w:cnfStyle w:val="001000010000"/>
            <w:tcW w:w="1686" w:type="dxa"/>
          </w:tcPr>
          <w:p w14:paraId="00000461">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Радиационная безопасность</w:t>
            </w:r>
          </w:p>
        </w:tc>
        <w:tc>
          <w:tcPr>
            <w:cnfStyle w:val="000000010000"/>
            <w:tcW w:w="1288" w:type="dxa"/>
          </w:tcPr>
          <w:p w14:paraId="00000462">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Класс I (до 370 Бк/кг)</w:t>
            </w:r>
          </w:p>
        </w:tc>
        <w:tc>
          <w:tcPr>
            <w:cnfStyle w:val="000000010000"/>
            <w:tcW w:w="1753" w:type="dxa"/>
          </w:tcPr>
          <w:p w14:paraId="00000463">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Спектро-</w:t>
            </w:r>
          </w:p>
          <w:p w14:paraId="00000464">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метрический анализ</w:t>
            </w:r>
          </w:p>
        </w:tc>
        <w:tc>
          <w:tcPr>
            <w:cnfStyle w:val="000000010000"/>
            <w:tcW w:w="1619" w:type="dxa"/>
          </w:tcPr>
          <w:p w14:paraId="00000465">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1 раз в 6 мес.</w:t>
            </w:r>
          </w:p>
        </w:tc>
        <w:tc>
          <w:tcPr>
            <w:cnfStyle w:val="000000010000"/>
            <w:tcW w:w="1707" w:type="dxa"/>
          </w:tcPr>
          <w:p w14:paraId="00000466">
            <w:pPr>
              <w:ind w:left="0"/>
              <w:jc w:val="center"/>
              <w:rPr>
                <w:rFonts w:ascii="Times New Roman" w:cs="Times New Roman" w:hAnsi="Times New Roman"/>
                <w:sz w:val="20"/>
                <w:szCs w:val="20"/>
                <w:highlight w:val="none"/>
              </w:rPr>
            </w:pPr>
            <w:r>
              <w:rPr>
                <w:rFonts w:ascii="Times New Roman" w:cs="Times New Roman" w:hAnsi="Times New Roman"/>
                <w:sz w:val="20"/>
                <w:szCs w:val="20"/>
                <w:highlight w:val="none"/>
              </w:rPr>
              <w:t>Спектрометр</w:t>
            </w:r>
          </w:p>
        </w:tc>
        <w:tc>
          <w:tcPr>
            <w:cnfStyle w:val="000000010000"/>
            <w:tcW w:w="1302" w:type="dxa"/>
          </w:tcPr>
          <w:p w14:paraId="00000467">
            <w:pPr>
              <w:ind w:left="0"/>
              <w:jc w:val="center"/>
              <w:rPr>
                <w:rFonts w:ascii="Times New Roman" w:cs="Times New Roman" w:hAnsi="Times New Roman"/>
                <w:sz w:val="20"/>
                <w:szCs w:val="20"/>
              </w:rPr>
            </w:pPr>
            <w:r>
              <w:rPr>
                <w:rFonts w:ascii="Times New Roman" w:cs="Times New Roman" w:hAnsi="Times New Roman"/>
                <w:sz w:val="20"/>
                <w:szCs w:val="20"/>
                <w:highlight w:val="none"/>
              </w:rPr>
              <w:t>Аккредит. лаборатория</w:t>
            </w:r>
          </w:p>
        </w:tc>
      </w:tr>
    </w:tbl>
    <w:p w14:paraId="00000468">
      <w:pPr>
        <w:spacing w:beforeAutospacing="0" w:after="0" w:afterAutospacing="0" w:line="360" w:lineRule="auto"/>
        <w:ind w:firstLine="709"/>
        <w:jc w:val="both"/>
        <w:rPr>
          <w:rFonts w:ascii="Times New Roman" w:cs="Times New Roman" w:hAnsi="Times New Roman"/>
          <w:i/>
          <w:iCs/>
          <w:sz w:val="28"/>
          <w:szCs w:val="28"/>
        </w:rPr>
      </w:pPr>
    </w:p>
    <w:p w14:paraId="0000046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Наиболее сложные и дорогостоящие испытания (морозостойкость, радиационный контроль) передаются в аккредитованные лаборатории Пензенского ЦСМ и ПГУАС. Такой подход обеспечивает достоверность результатов при разумных затратах. Кроме того, аккредитованные лаборатории имеют право оформлять протоколы испытаний для декларирования соответствия.</w:t>
      </w:r>
    </w:p>
    <w:p w14:paraId="0000046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Логистическая система предприятия включает входящую (снабжение сырьём), внутреннюю (перемещение на территории цеха) и исходящую (доставка готовой продукции потребителям) логистику.</w:t>
      </w:r>
    </w:p>
    <w:p w14:paraId="0000046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Входящая логистика (сырьё).</w:t>
      </w:r>
      <w:r>
        <w:rPr>
          <w:rFonts w:ascii="Times New Roman" w:cs="Times New Roman" w:hAnsi="Times New Roman"/>
          <w:sz w:val="28"/>
          <w:szCs w:val="28"/>
        </w:rPr>
        <w:t xml:space="preserve"> Цемент закупается у цементных заводов Приволжского федерального округа. Основные поставщики: АО «Мордовцемент» (г. Комсомольский, Республика Мордовия, расстояние 250 </w:t>
      </w:r>
      <w:r>
        <w:rPr>
          <w:rFonts w:ascii="Times New Roman" w:cs="Times New Roman" w:hAnsi="Times New Roman"/>
          <w:sz w:val="28"/>
          <w:szCs w:val="28"/>
        </w:rPr>
        <w:t>км) и АО «Ульяновскцемент» (г. Новоульяновск, Ульяновская область, расстояние 280 км). Доставка осуществляется автоцементовозами поставщиков – это дешевле, чем использование собственного транспорта. Отсевы дробления известняка закупаются у карьеров Пензенской области: Лунинский карьер (Лунинский район, расстояние 70 км), Каменский карьер (Каменский район, расстояние 90 км), Нижнеломовский карьер (Нижнеломовский район, расстояние 100 км). Доставка самосвалами – также транспортом поставщиков. Пигменты и пластификаторы закупаются у российских поставщиков с доставкой транспортными компаниями (например, «Деловые линии», «ПЭК»). Страховой запас сырья – на 10–14 дней работы.</w:t>
      </w:r>
    </w:p>
    <w:p w14:paraId="0000046C">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Внутренняя логистика – перемещение сырья и готовой продукции на территории цеха с помощью вилочного погрузчика (1 единица) и ручных гидравлических тележек (3 единицы). Маршруты движения оптимизированы: силосы расположены в непосредственной близости от дозаторов, склад готовой продукции – сразу за упаковочной машиной. Это минимизирует время на перемещение и снижает нагрузку на персонал. Рациональная организация внутрипроизводственных потоков также позволяет сократить простои оборудования и повысить общую ритмичность производственного процесса.</w:t>
      </w:r>
    </w:p>
    <w:p w14:paraId="0000046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Исходящая логистика (готовая продукция).</w:t>
      </w:r>
      <w:r>
        <w:rPr>
          <w:rFonts w:ascii="Times New Roman" w:cs="Times New Roman" w:hAnsi="Times New Roman"/>
          <w:sz w:val="28"/>
          <w:szCs w:val="28"/>
        </w:rPr>
        <w:t> Разработаны три варианта отгрузки, рассмотрим их далее.</w:t>
      </w:r>
    </w:p>
    <w:p w14:paraId="0000046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 xml:space="preserve">Самовывоз со склада </w:t>
      </w:r>
      <w:r>
        <w:rPr>
          <w:rFonts w:ascii="Times New Roman" w:cs="Times New Roman" w:hAnsi="Times New Roman"/>
          <w:sz w:val="28"/>
          <w:szCs w:val="28"/>
        </w:rPr>
        <w:t>– клиент забирает продукцию своими силами. Это наиболее распространённый вариант для крупных застройщиков, имеющих собственный транспорт. Для самовывоза выделяется отдельный въезд и площадка для маневрирования.</w:t>
      </w:r>
    </w:p>
    <w:p w14:paraId="0000046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 xml:space="preserve">Доставка собственным транспортом </w:t>
      </w:r>
      <w:r>
        <w:rPr>
          <w:rFonts w:ascii="Times New Roman" w:cs="Times New Roman" w:hAnsi="Times New Roman"/>
          <w:sz w:val="28"/>
          <w:szCs w:val="28"/>
        </w:rPr>
        <w:t xml:space="preserve">– приобретаются два бортовых автомобиля с манипулятором (грузоподъёмность 10 т, стоимость 6 млн руб. за два автомобиля). Доставка осуществляется в радиусе 300 км от Пензы (вся Пензенская область, часть Республики Мордовия, Тамбовской, Рязанской и </w:t>
      </w:r>
      <w:r>
        <w:rPr>
          <w:rFonts w:ascii="Times New Roman" w:cs="Times New Roman" w:hAnsi="Times New Roman"/>
          <w:sz w:val="28"/>
          <w:szCs w:val="28"/>
        </w:rPr>
        <w:t>Саратовской областей). Стоимость доставки рассчитывается отдельно исходя из километража (ориентировочно 30–40 руб./км).</w:t>
      </w:r>
    </w:p>
    <w:p w14:paraId="0000047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Доставка с привлечением транспортных компаний</w:t>
      </w:r>
      <w:r>
        <w:rPr>
          <w:rFonts w:ascii="Times New Roman" w:cs="Times New Roman" w:hAnsi="Times New Roman"/>
          <w:sz w:val="28"/>
          <w:szCs w:val="28"/>
        </w:rPr>
        <w:t> – для дальних расстояний (свыше 300 км) или при загруженности собственного автопарка привлекаются партнёры («Деловые линии», «ПЭК», местные перевозчики).</w:t>
      </w:r>
    </w:p>
    <w:p w14:paraId="00000471">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 xml:space="preserve">Таблица 3.5 – Характеристика логистических маршрутов для сырья (Пензенская область) </w:t>
      </w:r>
    </w:p>
    <w:tbl>
      <w:tblPr>
        <w:tblStyle w:val="TableGrid"/>
        <w:tblW w:w="9338" w:type="dxa"/>
        <w:tblInd w:w="142" w:type="dxa"/>
        <w:tblLook w:val="04A0"/>
      </w:tblPr>
      <w:tblGrid>
        <w:gridCol w:w="1240"/>
        <w:gridCol w:w="2283"/>
        <w:gridCol w:w="1327"/>
        <w:gridCol w:w="1524"/>
        <w:gridCol w:w="1694"/>
        <w:gridCol w:w="1270"/>
      </w:tblGrid>
      <w:tr>
        <w:trPr/>
        <w:tc>
          <w:tcPr>
            <w:cnfStyle w:val="101000000000"/>
            <w:tcW w:w="1240" w:type="dxa"/>
          </w:tcPr>
          <w:p w14:paraId="00000472">
            <w:pPr>
              <w:jc w:val="center"/>
              <w:rPr>
                <w:rFonts w:ascii="Times New Roman" w:cs="Times New Roman" w:hAnsi="Times New Roman"/>
              </w:rPr>
            </w:pPr>
            <w:r>
              <w:rPr>
                <w:rFonts w:ascii="Times New Roman" w:cs="Times New Roman" w:hAnsi="Times New Roman"/>
              </w:rPr>
              <w:t>Вид сырья</w:t>
            </w:r>
          </w:p>
        </w:tc>
        <w:tc>
          <w:tcPr>
            <w:cnfStyle w:val="100000000000"/>
            <w:tcW w:w="2283" w:type="dxa"/>
          </w:tcPr>
          <w:p w14:paraId="00000473">
            <w:pPr>
              <w:jc w:val="center"/>
              <w:rPr>
                <w:rFonts w:ascii="Times New Roman" w:cs="Times New Roman" w:hAnsi="Times New Roman"/>
              </w:rPr>
            </w:pPr>
            <w:r>
              <w:rPr>
                <w:rFonts w:ascii="Times New Roman" w:cs="Times New Roman" w:hAnsi="Times New Roman"/>
              </w:rPr>
              <w:t>Поставщик</w:t>
            </w:r>
          </w:p>
        </w:tc>
        <w:tc>
          <w:tcPr>
            <w:cnfStyle w:val="100000000000"/>
            <w:tcW w:w="1327" w:type="dxa"/>
          </w:tcPr>
          <w:p w14:paraId="00000474">
            <w:pPr>
              <w:jc w:val="center"/>
              <w:rPr>
                <w:rFonts w:ascii="Times New Roman" w:cs="Times New Roman" w:hAnsi="Times New Roman"/>
              </w:rPr>
            </w:pPr>
            <w:r>
              <w:rPr>
                <w:rFonts w:ascii="Times New Roman" w:cs="Times New Roman" w:hAnsi="Times New Roman"/>
              </w:rPr>
              <w:t>Расстояние, км</w:t>
            </w:r>
          </w:p>
        </w:tc>
        <w:tc>
          <w:tcPr>
            <w:cnfStyle w:val="100000000000"/>
            <w:tcW w:w="1524" w:type="dxa"/>
          </w:tcPr>
          <w:p w14:paraId="00000475">
            <w:pPr>
              <w:jc w:val="center"/>
              <w:rPr>
                <w:rFonts w:ascii="Times New Roman" w:cs="Times New Roman" w:hAnsi="Times New Roman"/>
              </w:rPr>
            </w:pPr>
            <w:r>
              <w:rPr>
                <w:rFonts w:ascii="Times New Roman" w:cs="Times New Roman" w:hAnsi="Times New Roman"/>
              </w:rPr>
              <w:t>Транспорт</w:t>
            </w:r>
          </w:p>
        </w:tc>
        <w:tc>
          <w:tcPr>
            <w:cnfStyle w:val="100000000000"/>
            <w:tcW w:w="1694" w:type="dxa"/>
          </w:tcPr>
          <w:p w14:paraId="00000476">
            <w:pPr>
              <w:jc w:val="center"/>
              <w:rPr>
                <w:rFonts w:ascii="Times New Roman" w:cs="Times New Roman" w:hAnsi="Times New Roman"/>
              </w:rPr>
            </w:pPr>
            <w:r>
              <w:rPr>
                <w:rFonts w:ascii="Times New Roman" w:cs="Times New Roman" w:hAnsi="Times New Roman"/>
              </w:rPr>
              <w:t>Периодичность поставок</w:t>
            </w:r>
          </w:p>
        </w:tc>
        <w:tc>
          <w:tcPr>
            <w:cnfStyle w:val="100000000000"/>
            <w:tcW w:w="1270" w:type="dxa"/>
          </w:tcPr>
          <w:p w14:paraId="00000477">
            <w:pPr>
              <w:jc w:val="center"/>
              <w:rPr>
                <w:rFonts w:ascii="Times New Roman" w:cs="Times New Roman" w:hAnsi="Times New Roman"/>
              </w:rPr>
            </w:pPr>
            <w:r>
              <w:rPr>
                <w:rFonts w:ascii="Times New Roman" w:cs="Times New Roman" w:hAnsi="Times New Roman"/>
              </w:rPr>
              <w:t>Страховой запас</w:t>
            </w:r>
          </w:p>
        </w:tc>
      </w:tr>
      <w:tr>
        <w:trPr/>
        <w:tc>
          <w:tcPr>
            <w:cnfStyle w:val="001000100000"/>
            <w:tcW w:w="1240" w:type="dxa"/>
          </w:tcPr>
          <w:p w14:paraId="00000478">
            <w:pPr>
              <w:jc w:val="both"/>
              <w:rPr>
                <w:rFonts w:ascii="Times New Roman" w:cs="Times New Roman" w:hAnsi="Times New Roman"/>
              </w:rPr>
            </w:pPr>
            <w:r>
              <w:rPr>
                <w:rFonts w:ascii="Times New Roman" w:cs="Times New Roman" w:hAnsi="Times New Roman"/>
              </w:rPr>
              <w:t>Цемент</w:t>
            </w:r>
          </w:p>
        </w:tc>
        <w:tc>
          <w:tcPr>
            <w:cnfStyle w:val="000000100000"/>
            <w:tcW w:w="2283" w:type="dxa"/>
          </w:tcPr>
          <w:p w14:paraId="00000479">
            <w:pPr>
              <w:jc w:val="both"/>
              <w:rPr>
                <w:rFonts w:ascii="Times New Roman" w:cs="Times New Roman" w:hAnsi="Times New Roman"/>
              </w:rPr>
            </w:pPr>
            <w:r>
              <w:rPr>
                <w:rFonts w:ascii="Times New Roman" w:cs="Times New Roman" w:hAnsi="Times New Roman"/>
              </w:rPr>
              <w:t>АО «Мордовцемент» (Мордовия)</w:t>
            </w:r>
          </w:p>
        </w:tc>
        <w:tc>
          <w:tcPr>
            <w:cnfStyle w:val="000000100000"/>
            <w:tcW w:w="1327" w:type="dxa"/>
          </w:tcPr>
          <w:p w14:paraId="0000047A">
            <w:pPr>
              <w:jc w:val="center"/>
              <w:rPr>
                <w:rFonts w:ascii="Times New Roman" w:cs="Times New Roman" w:hAnsi="Times New Roman"/>
              </w:rPr>
            </w:pPr>
            <w:r>
              <w:rPr>
                <w:rFonts w:ascii="Times New Roman" w:cs="Times New Roman" w:hAnsi="Times New Roman"/>
              </w:rPr>
              <w:t>250</w:t>
            </w:r>
          </w:p>
        </w:tc>
        <w:tc>
          <w:tcPr>
            <w:cnfStyle w:val="000000100000"/>
            <w:tcW w:w="1524" w:type="dxa"/>
          </w:tcPr>
          <w:p w14:paraId="0000047B">
            <w:pPr>
              <w:jc w:val="center"/>
              <w:rPr>
                <w:rFonts w:ascii="Times New Roman" w:cs="Times New Roman" w:hAnsi="Times New Roman"/>
              </w:rPr>
            </w:pPr>
            <w:r>
              <w:rPr>
                <w:rFonts w:ascii="Times New Roman" w:cs="Times New Roman" w:hAnsi="Times New Roman"/>
              </w:rPr>
              <w:t>Авто-</w:t>
            </w:r>
          </w:p>
          <w:p w14:paraId="0000047C">
            <w:pPr>
              <w:jc w:val="center"/>
              <w:rPr>
                <w:rFonts w:ascii="Times New Roman" w:cs="Times New Roman" w:hAnsi="Times New Roman"/>
              </w:rPr>
            </w:pPr>
            <w:r>
              <w:rPr>
                <w:rFonts w:ascii="Times New Roman" w:cs="Times New Roman" w:hAnsi="Times New Roman"/>
              </w:rPr>
              <w:t>цементовоз</w:t>
            </w:r>
          </w:p>
        </w:tc>
        <w:tc>
          <w:tcPr>
            <w:cnfStyle w:val="000000100000"/>
            <w:tcW w:w="1694" w:type="dxa"/>
          </w:tcPr>
          <w:p w14:paraId="0000047D">
            <w:pPr>
              <w:jc w:val="center"/>
              <w:rPr>
                <w:rFonts w:ascii="Times New Roman" w:cs="Times New Roman" w:hAnsi="Times New Roman"/>
              </w:rPr>
            </w:pPr>
            <w:r>
              <w:rPr>
                <w:rFonts w:ascii="Times New Roman" w:cs="Times New Roman" w:hAnsi="Times New Roman"/>
              </w:rPr>
              <w:t>Еженедельно</w:t>
            </w:r>
          </w:p>
        </w:tc>
        <w:tc>
          <w:tcPr>
            <w:cnfStyle w:val="000000100000"/>
            <w:tcW w:w="1270" w:type="dxa"/>
          </w:tcPr>
          <w:p w14:paraId="0000047E">
            <w:pPr>
              <w:jc w:val="center"/>
              <w:rPr>
                <w:rFonts w:ascii="Times New Roman" w:cs="Times New Roman" w:hAnsi="Times New Roman"/>
              </w:rPr>
            </w:pPr>
            <w:r>
              <w:rPr>
                <w:rFonts w:ascii="Times New Roman" w:cs="Times New Roman" w:hAnsi="Times New Roman"/>
              </w:rPr>
              <w:t>14 дней</w:t>
            </w:r>
          </w:p>
        </w:tc>
      </w:tr>
      <w:tr>
        <w:trPr/>
        <w:tc>
          <w:tcPr>
            <w:cnfStyle w:val="001000010000"/>
            <w:tcW w:w="1240" w:type="dxa"/>
          </w:tcPr>
          <w:p w14:paraId="0000047F">
            <w:pPr>
              <w:jc w:val="both"/>
              <w:rPr>
                <w:rFonts w:ascii="Times New Roman" w:cs="Times New Roman" w:hAnsi="Times New Roman"/>
              </w:rPr>
            </w:pPr>
            <w:r>
              <w:rPr>
                <w:rFonts w:ascii="Times New Roman" w:cs="Times New Roman" w:hAnsi="Times New Roman"/>
              </w:rPr>
              <w:t>Цемент</w:t>
            </w:r>
          </w:p>
        </w:tc>
        <w:tc>
          <w:tcPr>
            <w:cnfStyle w:val="000000010000"/>
            <w:tcW w:w="2283" w:type="dxa"/>
          </w:tcPr>
          <w:p w14:paraId="00000480">
            <w:pPr>
              <w:jc w:val="both"/>
              <w:rPr>
                <w:rFonts w:ascii="Times New Roman" w:cs="Times New Roman" w:hAnsi="Times New Roman"/>
              </w:rPr>
            </w:pPr>
            <w:r>
              <w:rPr>
                <w:rFonts w:ascii="Times New Roman" w:cs="Times New Roman" w:hAnsi="Times New Roman"/>
              </w:rPr>
              <w:t>АО «Ульяновскцемент» (Ульяновская обл.)</w:t>
            </w:r>
          </w:p>
        </w:tc>
        <w:tc>
          <w:tcPr>
            <w:cnfStyle w:val="000000010000"/>
            <w:tcW w:w="1327" w:type="dxa"/>
          </w:tcPr>
          <w:p w14:paraId="00000481">
            <w:pPr>
              <w:jc w:val="center"/>
              <w:rPr>
                <w:rFonts w:ascii="Times New Roman" w:cs="Times New Roman" w:hAnsi="Times New Roman"/>
              </w:rPr>
            </w:pPr>
            <w:r>
              <w:rPr>
                <w:rFonts w:ascii="Times New Roman" w:cs="Times New Roman" w:hAnsi="Times New Roman"/>
              </w:rPr>
              <w:t>280</w:t>
            </w:r>
          </w:p>
        </w:tc>
        <w:tc>
          <w:tcPr>
            <w:cnfStyle w:val="000000010000"/>
            <w:tcW w:w="1524" w:type="dxa"/>
          </w:tcPr>
          <w:p w14:paraId="00000482">
            <w:pPr>
              <w:jc w:val="center"/>
              <w:rPr>
                <w:rFonts w:ascii="Times New Roman" w:cs="Times New Roman" w:hAnsi="Times New Roman"/>
              </w:rPr>
            </w:pPr>
            <w:r>
              <w:rPr>
                <w:rFonts w:ascii="Times New Roman" w:cs="Times New Roman" w:hAnsi="Times New Roman"/>
              </w:rPr>
              <w:t>Авто-</w:t>
            </w:r>
          </w:p>
          <w:p w14:paraId="00000483">
            <w:pPr>
              <w:jc w:val="center"/>
              <w:rPr>
                <w:rFonts w:ascii="Times New Roman" w:cs="Times New Roman" w:hAnsi="Times New Roman"/>
              </w:rPr>
            </w:pPr>
            <w:r>
              <w:rPr>
                <w:rFonts w:ascii="Times New Roman" w:cs="Times New Roman" w:hAnsi="Times New Roman"/>
              </w:rPr>
              <w:t>цементовоз</w:t>
            </w:r>
          </w:p>
        </w:tc>
        <w:tc>
          <w:tcPr>
            <w:cnfStyle w:val="000000010000"/>
            <w:tcW w:w="1694" w:type="dxa"/>
          </w:tcPr>
          <w:p w14:paraId="00000484">
            <w:pPr>
              <w:jc w:val="center"/>
              <w:rPr>
                <w:rFonts w:ascii="Times New Roman" w:cs="Times New Roman" w:hAnsi="Times New Roman"/>
              </w:rPr>
            </w:pPr>
            <w:r>
              <w:rPr>
                <w:rFonts w:ascii="Times New Roman" w:cs="Times New Roman" w:hAnsi="Times New Roman"/>
              </w:rPr>
              <w:t>Еженедельно</w:t>
            </w:r>
          </w:p>
        </w:tc>
        <w:tc>
          <w:tcPr>
            <w:cnfStyle w:val="000000010000"/>
            <w:tcW w:w="1270" w:type="dxa"/>
          </w:tcPr>
          <w:p w14:paraId="00000485">
            <w:pPr>
              <w:jc w:val="center"/>
              <w:rPr>
                <w:rFonts w:ascii="Times New Roman" w:cs="Times New Roman" w:hAnsi="Times New Roman"/>
              </w:rPr>
            </w:pPr>
            <w:r>
              <w:rPr>
                <w:rFonts w:ascii="Times New Roman" w:cs="Times New Roman" w:hAnsi="Times New Roman"/>
              </w:rPr>
              <w:t>14 дней</w:t>
            </w:r>
          </w:p>
        </w:tc>
      </w:tr>
      <w:tr>
        <w:trPr/>
        <w:tc>
          <w:tcPr>
            <w:cnfStyle w:val="001000100000"/>
            <w:tcW w:w="1240" w:type="dxa"/>
          </w:tcPr>
          <w:p w14:paraId="00000486">
            <w:pPr>
              <w:jc w:val="both"/>
              <w:rPr>
                <w:rFonts w:ascii="Times New Roman" w:cs="Times New Roman" w:hAnsi="Times New Roman"/>
              </w:rPr>
            </w:pPr>
            <w:r>
              <w:rPr>
                <w:rFonts w:ascii="Times New Roman" w:cs="Times New Roman" w:hAnsi="Times New Roman"/>
              </w:rPr>
              <w:t>Отсевы известняка</w:t>
            </w:r>
          </w:p>
        </w:tc>
        <w:tc>
          <w:tcPr>
            <w:cnfStyle w:val="000000100000"/>
            <w:tcW w:w="2283" w:type="dxa"/>
          </w:tcPr>
          <w:p w14:paraId="00000487">
            <w:pPr>
              <w:jc w:val="both"/>
              <w:rPr>
                <w:rFonts w:ascii="Times New Roman" w:cs="Times New Roman" w:hAnsi="Times New Roman"/>
              </w:rPr>
            </w:pPr>
            <w:r>
              <w:rPr>
                <w:rFonts w:ascii="Times New Roman" w:cs="Times New Roman" w:hAnsi="Times New Roman"/>
              </w:rPr>
              <w:t>Лунинский карьер (Пензенская обл.)</w:t>
            </w:r>
          </w:p>
        </w:tc>
        <w:tc>
          <w:tcPr>
            <w:cnfStyle w:val="000000100000"/>
            <w:tcW w:w="1327" w:type="dxa"/>
          </w:tcPr>
          <w:p w14:paraId="00000488">
            <w:pPr>
              <w:jc w:val="center"/>
              <w:rPr>
                <w:rFonts w:ascii="Times New Roman" w:cs="Times New Roman" w:hAnsi="Times New Roman"/>
              </w:rPr>
            </w:pPr>
            <w:r>
              <w:rPr>
                <w:rFonts w:ascii="Times New Roman" w:cs="Times New Roman" w:hAnsi="Times New Roman"/>
              </w:rPr>
              <w:t>70</w:t>
            </w:r>
          </w:p>
        </w:tc>
        <w:tc>
          <w:tcPr>
            <w:cnfStyle w:val="000000100000"/>
            <w:tcW w:w="1524" w:type="dxa"/>
          </w:tcPr>
          <w:p w14:paraId="00000489">
            <w:pPr>
              <w:jc w:val="center"/>
              <w:rPr>
                <w:rFonts w:ascii="Times New Roman" w:cs="Times New Roman" w:hAnsi="Times New Roman"/>
              </w:rPr>
            </w:pPr>
            <w:r>
              <w:rPr>
                <w:rFonts w:ascii="Times New Roman" w:cs="Times New Roman" w:hAnsi="Times New Roman"/>
              </w:rPr>
              <w:t>Самосвал</w:t>
            </w:r>
          </w:p>
        </w:tc>
        <w:tc>
          <w:tcPr>
            <w:cnfStyle w:val="000000100000"/>
            <w:tcW w:w="1694" w:type="dxa"/>
          </w:tcPr>
          <w:p w14:paraId="0000048A">
            <w:pPr>
              <w:jc w:val="center"/>
              <w:rPr>
                <w:rFonts w:ascii="Times New Roman" w:cs="Times New Roman" w:hAnsi="Times New Roman"/>
              </w:rPr>
            </w:pPr>
            <w:r>
              <w:rPr>
                <w:rFonts w:ascii="Times New Roman" w:cs="Times New Roman" w:hAnsi="Times New Roman"/>
              </w:rPr>
              <w:t>Ежедневно</w:t>
            </w:r>
          </w:p>
        </w:tc>
        <w:tc>
          <w:tcPr>
            <w:cnfStyle w:val="000000100000"/>
            <w:tcW w:w="1270" w:type="dxa"/>
          </w:tcPr>
          <w:p w14:paraId="0000048B">
            <w:pPr>
              <w:jc w:val="center"/>
              <w:rPr>
                <w:rFonts w:ascii="Times New Roman" w:cs="Times New Roman" w:hAnsi="Times New Roman"/>
              </w:rPr>
            </w:pPr>
            <w:r>
              <w:rPr>
                <w:rFonts w:ascii="Times New Roman" w:cs="Times New Roman" w:hAnsi="Times New Roman"/>
              </w:rPr>
              <w:t>10 дней</w:t>
            </w:r>
          </w:p>
        </w:tc>
      </w:tr>
      <w:tr>
        <w:trPr/>
        <w:tc>
          <w:tcPr>
            <w:cnfStyle w:val="001000010000"/>
            <w:tcW w:w="1240" w:type="dxa"/>
          </w:tcPr>
          <w:p w14:paraId="0000048C">
            <w:pPr>
              <w:jc w:val="both"/>
              <w:rPr>
                <w:rFonts w:ascii="Times New Roman" w:cs="Times New Roman" w:hAnsi="Times New Roman"/>
              </w:rPr>
            </w:pPr>
            <w:r>
              <w:rPr>
                <w:rFonts w:ascii="Times New Roman" w:cs="Times New Roman" w:hAnsi="Times New Roman"/>
              </w:rPr>
              <w:t>Отсевы известняка</w:t>
            </w:r>
          </w:p>
        </w:tc>
        <w:tc>
          <w:tcPr>
            <w:cnfStyle w:val="000000010000"/>
            <w:tcW w:w="2283" w:type="dxa"/>
          </w:tcPr>
          <w:p w14:paraId="0000048D">
            <w:pPr>
              <w:jc w:val="both"/>
              <w:rPr>
                <w:rFonts w:ascii="Times New Roman" w:cs="Times New Roman" w:hAnsi="Times New Roman"/>
              </w:rPr>
            </w:pPr>
            <w:r>
              <w:rPr>
                <w:rFonts w:ascii="Times New Roman" w:cs="Times New Roman" w:hAnsi="Times New Roman"/>
              </w:rPr>
              <w:t>Каменский карьер (Пензенская обл.)</w:t>
            </w:r>
          </w:p>
        </w:tc>
        <w:tc>
          <w:tcPr>
            <w:cnfStyle w:val="000000010000"/>
            <w:tcW w:w="1327" w:type="dxa"/>
          </w:tcPr>
          <w:p w14:paraId="0000048E">
            <w:pPr>
              <w:jc w:val="center"/>
              <w:rPr>
                <w:rFonts w:ascii="Times New Roman" w:cs="Times New Roman" w:hAnsi="Times New Roman"/>
              </w:rPr>
            </w:pPr>
            <w:r>
              <w:rPr>
                <w:rFonts w:ascii="Times New Roman" w:cs="Times New Roman" w:hAnsi="Times New Roman"/>
              </w:rPr>
              <w:t>90</w:t>
            </w:r>
          </w:p>
        </w:tc>
        <w:tc>
          <w:tcPr>
            <w:cnfStyle w:val="000000010000"/>
            <w:tcW w:w="1524" w:type="dxa"/>
          </w:tcPr>
          <w:p w14:paraId="0000048F">
            <w:pPr>
              <w:jc w:val="center"/>
              <w:rPr>
                <w:rFonts w:ascii="Times New Roman" w:cs="Times New Roman" w:hAnsi="Times New Roman"/>
              </w:rPr>
            </w:pPr>
            <w:r>
              <w:rPr>
                <w:rFonts w:ascii="Times New Roman" w:cs="Times New Roman" w:hAnsi="Times New Roman"/>
              </w:rPr>
              <w:t>Самосвал</w:t>
            </w:r>
          </w:p>
        </w:tc>
        <w:tc>
          <w:tcPr>
            <w:cnfStyle w:val="000000010000"/>
            <w:tcW w:w="1694" w:type="dxa"/>
          </w:tcPr>
          <w:p w14:paraId="00000490">
            <w:pPr>
              <w:jc w:val="center"/>
              <w:rPr>
                <w:rFonts w:ascii="Times New Roman" w:cs="Times New Roman" w:hAnsi="Times New Roman"/>
              </w:rPr>
            </w:pPr>
            <w:r>
              <w:rPr>
                <w:rFonts w:ascii="Times New Roman" w:cs="Times New Roman" w:hAnsi="Times New Roman"/>
              </w:rPr>
              <w:t>Ежедневно</w:t>
            </w:r>
          </w:p>
        </w:tc>
        <w:tc>
          <w:tcPr>
            <w:cnfStyle w:val="000000010000"/>
            <w:tcW w:w="1270" w:type="dxa"/>
          </w:tcPr>
          <w:p w14:paraId="00000491">
            <w:pPr>
              <w:jc w:val="center"/>
              <w:rPr>
                <w:rFonts w:ascii="Times New Roman" w:cs="Times New Roman" w:hAnsi="Times New Roman"/>
              </w:rPr>
            </w:pPr>
            <w:r>
              <w:rPr>
                <w:rFonts w:ascii="Times New Roman" w:cs="Times New Roman" w:hAnsi="Times New Roman"/>
              </w:rPr>
              <w:t>10 дней</w:t>
            </w:r>
          </w:p>
        </w:tc>
      </w:tr>
      <w:tr>
        <w:trPr/>
        <w:tc>
          <w:tcPr>
            <w:cnfStyle w:val="001000100000"/>
            <w:tcW w:w="1240" w:type="dxa"/>
          </w:tcPr>
          <w:p w14:paraId="00000492">
            <w:pPr>
              <w:jc w:val="both"/>
              <w:rPr>
                <w:rFonts w:ascii="Times New Roman" w:cs="Times New Roman" w:hAnsi="Times New Roman"/>
              </w:rPr>
            </w:pPr>
            <w:r>
              <w:rPr>
                <w:rFonts w:ascii="Times New Roman" w:cs="Times New Roman" w:hAnsi="Times New Roman"/>
              </w:rPr>
              <w:t>Отсевы известняка</w:t>
            </w:r>
          </w:p>
        </w:tc>
        <w:tc>
          <w:tcPr>
            <w:cnfStyle w:val="000000100000"/>
            <w:tcW w:w="2283" w:type="dxa"/>
          </w:tcPr>
          <w:p w14:paraId="00000493">
            <w:pPr>
              <w:jc w:val="both"/>
              <w:rPr>
                <w:rFonts w:ascii="Times New Roman" w:cs="Times New Roman" w:hAnsi="Times New Roman"/>
              </w:rPr>
            </w:pPr>
            <w:r>
              <w:rPr>
                <w:rFonts w:ascii="Times New Roman" w:cs="Times New Roman" w:hAnsi="Times New Roman"/>
              </w:rPr>
              <w:t>Нижнеломовский карьер (Пензенская обл.)</w:t>
            </w:r>
          </w:p>
        </w:tc>
        <w:tc>
          <w:tcPr>
            <w:cnfStyle w:val="000000100000"/>
            <w:tcW w:w="1327" w:type="dxa"/>
          </w:tcPr>
          <w:p w14:paraId="00000494">
            <w:pPr>
              <w:jc w:val="center"/>
              <w:rPr>
                <w:rFonts w:ascii="Times New Roman" w:cs="Times New Roman" w:hAnsi="Times New Roman"/>
              </w:rPr>
            </w:pPr>
            <w:r>
              <w:rPr>
                <w:rFonts w:ascii="Times New Roman" w:cs="Times New Roman" w:hAnsi="Times New Roman"/>
              </w:rPr>
              <w:t>100</w:t>
            </w:r>
          </w:p>
        </w:tc>
        <w:tc>
          <w:tcPr>
            <w:cnfStyle w:val="000000100000"/>
            <w:tcW w:w="1524" w:type="dxa"/>
          </w:tcPr>
          <w:p w14:paraId="00000495">
            <w:pPr>
              <w:jc w:val="center"/>
              <w:rPr>
                <w:rFonts w:ascii="Times New Roman" w:cs="Times New Roman" w:hAnsi="Times New Roman"/>
              </w:rPr>
            </w:pPr>
            <w:r>
              <w:rPr>
                <w:rFonts w:ascii="Times New Roman" w:cs="Times New Roman" w:hAnsi="Times New Roman"/>
              </w:rPr>
              <w:t>Самосвал</w:t>
            </w:r>
          </w:p>
        </w:tc>
        <w:tc>
          <w:tcPr>
            <w:cnfStyle w:val="000000100000"/>
            <w:tcW w:w="1694" w:type="dxa"/>
          </w:tcPr>
          <w:p w14:paraId="00000496">
            <w:pPr>
              <w:jc w:val="center"/>
              <w:rPr>
                <w:rFonts w:ascii="Times New Roman" w:cs="Times New Roman" w:hAnsi="Times New Roman"/>
              </w:rPr>
            </w:pPr>
            <w:r>
              <w:rPr>
                <w:rFonts w:ascii="Times New Roman" w:cs="Times New Roman" w:hAnsi="Times New Roman"/>
              </w:rPr>
              <w:t>3 раза в неделю</w:t>
            </w:r>
          </w:p>
        </w:tc>
        <w:tc>
          <w:tcPr>
            <w:cnfStyle w:val="000000100000"/>
            <w:tcW w:w="1270" w:type="dxa"/>
          </w:tcPr>
          <w:p w14:paraId="00000497">
            <w:pPr>
              <w:jc w:val="center"/>
              <w:rPr>
                <w:rFonts w:ascii="Times New Roman" w:cs="Times New Roman" w:hAnsi="Times New Roman"/>
              </w:rPr>
            </w:pPr>
            <w:r>
              <w:rPr>
                <w:rFonts w:ascii="Times New Roman" w:cs="Times New Roman" w:hAnsi="Times New Roman"/>
              </w:rPr>
              <w:t>10 дней</w:t>
            </w:r>
          </w:p>
        </w:tc>
      </w:tr>
      <w:tr>
        <w:trPr/>
        <w:tc>
          <w:tcPr>
            <w:cnfStyle w:val="001000010000"/>
            <w:tcW w:w="1240" w:type="dxa"/>
          </w:tcPr>
          <w:p w14:paraId="00000498">
            <w:pPr>
              <w:jc w:val="both"/>
              <w:rPr>
                <w:rFonts w:ascii="Times New Roman" w:cs="Times New Roman" w:hAnsi="Times New Roman"/>
              </w:rPr>
            </w:pPr>
            <w:r>
              <w:rPr>
                <w:rFonts w:ascii="Times New Roman" w:cs="Times New Roman" w:hAnsi="Times New Roman"/>
              </w:rPr>
              <w:t>Добавки, пигменты</w:t>
            </w:r>
          </w:p>
        </w:tc>
        <w:tc>
          <w:tcPr>
            <w:cnfStyle w:val="000000010000"/>
            <w:tcW w:w="2283" w:type="dxa"/>
          </w:tcPr>
          <w:p w14:paraId="00000499">
            <w:pPr>
              <w:jc w:val="both"/>
              <w:rPr>
                <w:rFonts w:ascii="Times New Roman" w:cs="Times New Roman" w:hAnsi="Times New Roman"/>
              </w:rPr>
            </w:pPr>
            <w:r>
              <w:rPr>
                <w:rFonts w:ascii="Times New Roman" w:cs="Times New Roman" w:hAnsi="Times New Roman"/>
              </w:rPr>
              <w:t>ООО «Полипласт» (г. Энгельс)</w:t>
            </w:r>
          </w:p>
        </w:tc>
        <w:tc>
          <w:tcPr>
            <w:cnfStyle w:val="000000010000"/>
            <w:tcW w:w="1327" w:type="dxa"/>
          </w:tcPr>
          <w:p w14:paraId="0000049A">
            <w:pPr>
              <w:jc w:val="center"/>
              <w:rPr>
                <w:rFonts w:ascii="Times New Roman" w:cs="Times New Roman" w:hAnsi="Times New Roman"/>
              </w:rPr>
            </w:pPr>
            <w:r>
              <w:rPr>
                <w:rFonts w:ascii="Times New Roman" w:cs="Times New Roman" w:hAnsi="Times New Roman"/>
              </w:rPr>
              <w:t>350</w:t>
            </w:r>
          </w:p>
        </w:tc>
        <w:tc>
          <w:tcPr>
            <w:cnfStyle w:val="000000010000"/>
            <w:tcW w:w="1524" w:type="dxa"/>
          </w:tcPr>
          <w:p w14:paraId="0000049B">
            <w:pPr>
              <w:jc w:val="center"/>
              <w:rPr>
                <w:rFonts w:ascii="Times New Roman" w:cs="Times New Roman" w:hAnsi="Times New Roman"/>
              </w:rPr>
            </w:pPr>
            <w:r>
              <w:rPr>
                <w:rFonts w:ascii="Times New Roman" w:cs="Times New Roman" w:hAnsi="Times New Roman"/>
              </w:rPr>
              <w:t>Транспортная компания</w:t>
            </w:r>
          </w:p>
        </w:tc>
        <w:tc>
          <w:tcPr>
            <w:cnfStyle w:val="000000010000"/>
            <w:tcW w:w="1694" w:type="dxa"/>
          </w:tcPr>
          <w:p w14:paraId="0000049C">
            <w:pPr>
              <w:jc w:val="center"/>
              <w:rPr>
                <w:rFonts w:ascii="Times New Roman" w:cs="Times New Roman" w:hAnsi="Times New Roman"/>
              </w:rPr>
            </w:pPr>
            <w:r>
              <w:rPr>
                <w:rFonts w:ascii="Times New Roman" w:cs="Times New Roman" w:hAnsi="Times New Roman"/>
              </w:rPr>
              <w:t>1 раз в месяц</w:t>
            </w:r>
          </w:p>
        </w:tc>
        <w:tc>
          <w:tcPr>
            <w:cnfStyle w:val="000000010000"/>
            <w:tcW w:w="1270" w:type="dxa"/>
          </w:tcPr>
          <w:p w14:paraId="0000049D">
            <w:pPr>
              <w:jc w:val="center"/>
              <w:rPr>
                <w:rFonts w:ascii="Times New Roman" w:cs="Times New Roman" w:hAnsi="Times New Roman"/>
              </w:rPr>
            </w:pPr>
            <w:r>
              <w:rPr>
                <w:rFonts w:ascii="Times New Roman" w:cs="Times New Roman" w:hAnsi="Times New Roman"/>
              </w:rPr>
              <w:t>30 дней</w:t>
            </w:r>
          </w:p>
        </w:tc>
      </w:tr>
    </w:tbl>
    <w:p w14:paraId="0000049E">
      <w:pPr>
        <w:spacing w:beforeAutospacing="0" w:after="0" w:afterAutospacing="0" w:line="360" w:lineRule="auto"/>
        <w:ind w:firstLine="709"/>
        <w:jc w:val="both"/>
        <w:rPr>
          <w:rFonts w:ascii="Times New Roman" w:cs="Times New Roman" w:hAnsi="Times New Roman"/>
          <w:i/>
          <w:iCs/>
          <w:sz w:val="28"/>
          <w:szCs w:val="28"/>
        </w:rPr>
      </w:pPr>
    </w:p>
    <w:p w14:paraId="0000049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Логистическая схема входящих поставок построена на максимальном использовании местных источников сырья. Отсевы известняка поставляются с трёх карьеров Пензенской области, что обеспечивает надёжность (при сбоях одного карьера можно переключиться на другой) и снижает транспортные расходы (расстояние 70–100 км). Цемент поставляется из соседних регионов (Мордовия, Ульяновская область) – расстояние 250–280 км, что является приемлемым для автоцементовозов. Страховые запасы рассчитаны на 10–14 дней, что защищает производство от кратковременных перебоев. Добавки и пигменты, поставляемые из Саратовской области, имеют больший страховой запас (30 дней) из-за более редкой периодичности поставок.</w:t>
      </w:r>
    </w:p>
    <w:p w14:paraId="000004A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Складское хозяйство данного предприятия включает три основных элемента.</w:t>
      </w:r>
    </w:p>
    <w:p w14:paraId="000004A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Склад сырья:</w:t>
      </w:r>
      <w:r>
        <w:rPr>
          <w:rFonts w:ascii="Times New Roman" w:cs="Times New Roman" w:hAnsi="Times New Roman"/>
          <w:sz w:val="28"/>
          <w:szCs w:val="28"/>
        </w:rPr>
        <w:t> крытая площадка для отсевов (500 кв. м) с твёрдым бетонным покрытием и навесом, защищающим от осадков. Два силоса для цемента по 50 т каждый, оснащённые системами аэрации для предотвращения слёживания цемента. Отдельное помещение (50 кв. м) для хранения добавок и пигментов с поддержанием температуры от +10 до +25°С и влажности не более 60%.</w:t>
      </w:r>
    </w:p>
    <w:p w14:paraId="000004A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Склад готовой продукции:</w:t>
      </w:r>
      <w:r>
        <w:rPr>
          <w:rFonts w:ascii="Times New Roman" w:cs="Times New Roman" w:hAnsi="Times New Roman"/>
          <w:sz w:val="28"/>
          <w:szCs w:val="28"/>
        </w:rPr>
        <w:t> отапливаемое помещение 800 кв. м с бетонным полом, стеллажами для выдержки кирпича (трёхъярусные, на каждом ярусе размещается 20 поддонов). Поддержание температуры не ниже +5°С в зимний период обеспечивается системой отопления (газовый котёл или электрические тепловые пушки – в зависимости от наличия газовой магистрали). Для ускорения твердения в первые 3–5 дней кирпич размещается на стеллажах в зоне с температурой +15…+20°С. Склад готовой продукции разделён на зоны: зона выдержки (первые 3–5 дней), зона твердения (до 28 суток), зона отгрузки (готовая к отправке продукция) [18].</w:t>
      </w:r>
    </w:p>
    <w:p w14:paraId="000004A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Склад запасных частей и материалов:</w:t>
      </w:r>
      <w:r>
        <w:rPr>
          <w:rFonts w:ascii="Times New Roman" w:cs="Times New Roman" w:hAnsi="Times New Roman"/>
          <w:sz w:val="28"/>
          <w:szCs w:val="28"/>
        </w:rPr>
        <w:t> помещение 100 кв. м для хранения инструментов, запасных частей к оборудованию, пресс-форм (матриц), упаковочной ленты, термоусадочной плёнки, маркировочных этикеток.</w:t>
      </w:r>
    </w:p>
    <w:p w14:paraId="000004A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Учёт товарно-материальных ценностей ведётся в программе «1С:Управление торговлей» (лицензия приобретается). Для готовой продукции внедряется система штрихкодирования – каждый поддон маркируется этикеткой со штрихкодом, содержащим информацию о типе кирпича, цвете, дате изготовления, номере партии. Это упрощает инвентаризацию и отгрузку, снижает вероятность ошибок.</w:t>
      </w:r>
    </w:p>
    <w:p w14:paraId="000004A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снижения операционных расходов и воздействия на окружающую среду предлагаются следующие мероприятия.</w:t>
      </w:r>
    </w:p>
    <w:p w14:paraId="000004A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Энергоэффективность:</w:t>
      </w:r>
    </w:p>
    <w:p w14:paraId="000004A7">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1) установка частотных преобразователей на электродвигателях смесителей и конвейеров – позволяет регулировать скорость вращения в зависимости от загрузки, экономия электроэнергии 15–20%;</w:t>
      </w:r>
    </w:p>
    <w:p w14:paraId="000004A8">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светодиодное освещение производственных помещений и территории – экономия до 50% по сравнению с люминесцентными лампами;</w:t>
      </w:r>
    </w:p>
    <w:p w14:paraId="000004A9">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3) рекуперация тепла от гидравлической станции пресса – масло в гидросистеме нагревается до 40–50°С, это тепло используется для подогрева воды в пропарочной камере (экономия до 30% затрат на пар или электричество);</w:t>
      </w:r>
    </w:p>
    <w:p w14:paraId="000004AA">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4) утепление здания цеха и склада – минимизация теплопотерь в зимний период;</w:t>
      </w:r>
    </w:p>
    <w:p w14:paraId="000004AB">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5) применение автоматизированной системы управления освещением (датчики движения и освещённости).</w:t>
      </w:r>
    </w:p>
    <w:p w14:paraId="000004A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Экология:</w:t>
      </w:r>
    </w:p>
    <w:p w14:paraId="000004AD">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1) оборудование узлов перегрузки цемента аспирационными системами с рукавными фильтрами – улавливают до 95% цементной пыли, предотвращая её выброс в атмосферу;</w:t>
      </w:r>
    </w:p>
    <w:p w14:paraId="000004AE">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оборотное водоснабжение для технических нужд (омывка оборудования) – вода очищается в отстойнике и используется повторно, что сокращает водопотребление на 80–90%;</w:t>
      </w:r>
    </w:p>
    <w:p w14:paraId="000004AF">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3) использование бетонных отходов (брак, излишки смеси) в качестве вторичного сырья – дробление и добавление в новую партию (до 5% от объёма), что соответствует новым требованиям распоряжения Правительства РФ № 2330-р.;</w:t>
      </w:r>
    </w:p>
    <w:p w14:paraId="000004B0">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4) обустройство санитарно-защитной зоны (СЗЗ) не менее 100 м от границы предприятия до жилой застройки (согласно СанПиН для предприятий II категории);</w:t>
      </w:r>
    </w:p>
    <w:p w14:paraId="000004B1">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5) разработка проекта предельно допустимых выбросов (ПДВ) и получение разрешения в Росприроднадзоре;</w:t>
      </w:r>
    </w:p>
    <w:p w14:paraId="000004B2">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6) регулярный мониторинг уровня шума на границе СЗЗ – не более 55 дБА днём, 45 дБА ночью.</w:t>
      </w:r>
    </w:p>
    <w:p w14:paraId="000004B3">
      <w:pPr>
        <w:spacing w:beforeAutospacing="0" w:after="0" w:afterAutospacing="0" w:line="360" w:lineRule="auto"/>
        <w:ind w:firstLine="706"/>
        <w:jc w:val="both"/>
        <w:rPr>
          <w:rFonts w:ascii="Times New Roman" w:cs="Times New Roman" w:hAnsi="Times New Roman"/>
          <w:bCs/>
          <w:sz w:val="28"/>
          <w:szCs w:val="28"/>
        </w:rPr>
      </w:pPr>
      <w:r>
        <w:rPr>
          <w:rFonts w:ascii="Times New Roman" w:cs="Times New Roman" w:hAnsi="Times New Roman"/>
          <w:bCs/>
          <w:sz w:val="28"/>
          <w:szCs w:val="28"/>
        </w:rPr>
        <w:t>Мероприятия по энергоэффективности и экологии позволяют не только соблюдать законодательные требования (СанПиН, распоряжение о вторичном сырье), но и получать экономический эффект – снижение затрат на электроэнергию и водоснабжение. Установка частотных преобразователей (инвестиции 300–400 тыс. руб.) окупается за 6–8 месяцев за счёт экономии электроэнергии. Утилизация брака в качестве вторичного сырья снижает расходы на вывоз отходов. Особое внимание уделено пылеулавливанию – это не только экологическое требование, но и забота о здоровье персонала.</w:t>
      </w:r>
    </w:p>
    <w:p w14:paraId="000004B4">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3.6 – Планируемые показатели энергоэффективности и экологии</w:t>
      </w:r>
    </w:p>
    <w:tbl>
      <w:tblPr>
        <w:tblStyle w:val="TableGrid"/>
        <w:tblW w:w="9359" w:type="dxa"/>
        <w:jc w:val="center"/>
        <w:tblInd w:w="125" w:type="dxa"/>
        <w:tblLook w:val="04A0"/>
      </w:tblPr>
      <w:tblGrid>
        <w:gridCol w:w="2323"/>
        <w:gridCol w:w="2407"/>
        <w:gridCol w:w="1700"/>
        <w:gridCol w:w="2929"/>
      </w:tblGrid>
      <w:tr>
        <w:trPr>
          <w:jc w:val="center"/>
        </w:trPr>
        <w:tc>
          <w:tcPr>
            <w:cnfStyle w:val="101000000000"/>
            <w:tcW w:w="2323" w:type="dxa"/>
          </w:tcPr>
          <w:p w14:paraId="000004B5">
            <w:pPr>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cnfStyle w:val="100000000000"/>
            <w:tcW w:w="2407" w:type="dxa"/>
          </w:tcPr>
          <w:p w14:paraId="000004B6">
            <w:pPr>
              <w:jc w:val="center"/>
              <w:rPr>
                <w:rFonts w:ascii="Times New Roman" w:cs="Times New Roman" w:hAnsi="Times New Roman"/>
                <w:sz w:val="24"/>
                <w:szCs w:val="24"/>
              </w:rPr>
            </w:pPr>
            <w:r>
              <w:rPr>
                <w:rFonts w:ascii="Times New Roman" w:cs="Times New Roman" w:hAnsi="Times New Roman"/>
                <w:sz w:val="24"/>
                <w:szCs w:val="24"/>
              </w:rPr>
              <w:t>Нормативное значение (или цель)</w:t>
            </w:r>
          </w:p>
        </w:tc>
        <w:tc>
          <w:tcPr>
            <w:cnfStyle w:val="100000000000"/>
            <w:tcW w:w="1700" w:type="dxa"/>
          </w:tcPr>
          <w:p w14:paraId="000004B7">
            <w:pPr>
              <w:jc w:val="center"/>
              <w:rPr>
                <w:rFonts w:ascii="Times New Roman" w:cs="Times New Roman" w:hAnsi="Times New Roman"/>
                <w:sz w:val="24"/>
                <w:szCs w:val="24"/>
              </w:rPr>
            </w:pPr>
            <w:r>
              <w:rPr>
                <w:rFonts w:ascii="Times New Roman" w:cs="Times New Roman" w:hAnsi="Times New Roman"/>
                <w:sz w:val="24"/>
                <w:szCs w:val="24"/>
              </w:rPr>
              <w:t>Фактическое (плановое)</w:t>
            </w:r>
          </w:p>
        </w:tc>
        <w:tc>
          <w:tcPr>
            <w:cnfStyle w:val="100000000000"/>
            <w:tcW w:w="2929" w:type="dxa"/>
          </w:tcPr>
          <w:p w14:paraId="000004B8">
            <w:pPr>
              <w:jc w:val="center"/>
              <w:rPr>
                <w:rFonts w:ascii="Times New Roman" w:cs="Times New Roman" w:hAnsi="Times New Roman"/>
                <w:sz w:val="24"/>
                <w:szCs w:val="24"/>
              </w:rPr>
            </w:pPr>
            <w:r>
              <w:rPr>
                <w:rFonts w:ascii="Times New Roman" w:cs="Times New Roman" w:hAnsi="Times New Roman"/>
                <w:sz w:val="24"/>
                <w:szCs w:val="24"/>
              </w:rPr>
              <w:t>Эффект</w:t>
            </w:r>
          </w:p>
        </w:tc>
      </w:tr>
      <w:tr>
        <w:trPr>
          <w:jc w:val="center"/>
        </w:trPr>
        <w:tc>
          <w:tcPr>
            <w:cnfStyle w:val="001000100000"/>
            <w:tcW w:w="2323" w:type="dxa"/>
          </w:tcPr>
          <w:p w14:paraId="000004B9">
            <w:pPr>
              <w:jc w:val="both"/>
              <w:rPr>
                <w:rFonts w:ascii="Times New Roman" w:cs="Times New Roman" w:hAnsi="Times New Roman"/>
                <w:sz w:val="24"/>
                <w:szCs w:val="24"/>
              </w:rPr>
            </w:pPr>
            <w:r>
              <w:rPr>
                <w:rFonts w:ascii="Times New Roman" w:cs="Times New Roman" w:hAnsi="Times New Roman"/>
                <w:sz w:val="24"/>
                <w:szCs w:val="24"/>
              </w:rPr>
              <w:t>Экономия электроэнергии</w:t>
            </w:r>
          </w:p>
        </w:tc>
        <w:tc>
          <w:tcPr>
            <w:cnfStyle w:val="000000100000"/>
            <w:tcW w:w="2407" w:type="dxa"/>
          </w:tcPr>
          <w:p w14:paraId="000004BA">
            <w:pPr>
              <w:jc w:val="center"/>
              <w:rPr>
                <w:rFonts w:ascii="Times New Roman" w:cs="Times New Roman" w:hAnsi="Times New Roman"/>
                <w:sz w:val="24"/>
                <w:szCs w:val="24"/>
              </w:rPr>
            </w:pPr>
            <w:r>
              <w:rPr>
                <w:rFonts w:ascii="Times New Roman" w:cs="Times New Roman" w:hAnsi="Times New Roman"/>
                <w:sz w:val="24"/>
                <w:szCs w:val="24"/>
              </w:rPr>
              <w:t>–</w:t>
            </w:r>
          </w:p>
        </w:tc>
        <w:tc>
          <w:tcPr>
            <w:cnfStyle w:val="000000100000"/>
            <w:tcW w:w="1700" w:type="dxa"/>
          </w:tcPr>
          <w:p w14:paraId="000004BB">
            <w:pPr>
              <w:jc w:val="center"/>
              <w:rPr>
                <w:rFonts w:ascii="Times New Roman" w:cs="Times New Roman" w:hAnsi="Times New Roman"/>
                <w:sz w:val="24"/>
                <w:szCs w:val="24"/>
              </w:rPr>
            </w:pPr>
            <w:r>
              <w:rPr>
                <w:rFonts w:ascii="Times New Roman" w:cs="Times New Roman" w:hAnsi="Times New Roman"/>
                <w:sz w:val="24"/>
                <w:szCs w:val="24"/>
              </w:rPr>
              <w:t>20%</w:t>
            </w:r>
          </w:p>
        </w:tc>
        <w:tc>
          <w:tcPr>
            <w:cnfStyle w:val="000000100000"/>
            <w:tcW w:w="2929" w:type="dxa"/>
          </w:tcPr>
          <w:p w14:paraId="000004BC">
            <w:pPr>
              <w:jc w:val="both"/>
              <w:rPr>
                <w:rFonts w:ascii="Times New Roman" w:cs="Times New Roman" w:hAnsi="Times New Roman"/>
                <w:sz w:val="24"/>
                <w:szCs w:val="24"/>
              </w:rPr>
            </w:pPr>
            <w:r>
              <w:rPr>
                <w:rFonts w:ascii="Times New Roman" w:cs="Times New Roman" w:hAnsi="Times New Roman"/>
                <w:sz w:val="24"/>
                <w:szCs w:val="24"/>
              </w:rPr>
              <w:t>Снижение затрат на 70 тыс. руб./мес.</w:t>
            </w:r>
          </w:p>
        </w:tc>
      </w:tr>
      <w:tr>
        <w:trPr>
          <w:jc w:val="center"/>
        </w:trPr>
        <w:tc>
          <w:tcPr>
            <w:cnfStyle w:val="001000010000"/>
            <w:tcW w:w="2323" w:type="dxa"/>
          </w:tcPr>
          <w:p w14:paraId="000004BD">
            <w:pPr>
              <w:jc w:val="both"/>
              <w:rPr>
                <w:rFonts w:ascii="Times New Roman" w:cs="Times New Roman" w:hAnsi="Times New Roman"/>
                <w:sz w:val="24"/>
                <w:szCs w:val="24"/>
              </w:rPr>
            </w:pPr>
            <w:r>
              <w:rPr>
                <w:rFonts w:ascii="Times New Roman" w:cs="Times New Roman" w:hAnsi="Times New Roman"/>
                <w:sz w:val="24"/>
                <w:szCs w:val="24"/>
              </w:rPr>
              <w:t>Снижение водопотребления</w:t>
            </w:r>
          </w:p>
        </w:tc>
        <w:tc>
          <w:tcPr>
            <w:cnfStyle w:val="000000010000"/>
            <w:tcW w:w="2407" w:type="dxa"/>
          </w:tcPr>
          <w:p w14:paraId="000004BE">
            <w:pPr>
              <w:jc w:val="center"/>
              <w:rPr>
                <w:rFonts w:ascii="Times New Roman" w:cs="Times New Roman" w:hAnsi="Times New Roman"/>
                <w:sz w:val="24"/>
                <w:szCs w:val="24"/>
              </w:rPr>
            </w:pPr>
            <w:r>
              <w:rPr>
                <w:rFonts w:ascii="Times New Roman" w:cs="Times New Roman" w:hAnsi="Times New Roman"/>
                <w:sz w:val="24"/>
                <w:szCs w:val="24"/>
              </w:rPr>
              <w:t>–</w:t>
            </w:r>
          </w:p>
        </w:tc>
        <w:tc>
          <w:tcPr>
            <w:cnfStyle w:val="000000010000"/>
            <w:tcW w:w="1700" w:type="dxa"/>
          </w:tcPr>
          <w:p w14:paraId="000004BF">
            <w:pPr>
              <w:jc w:val="center"/>
              <w:rPr>
                <w:rFonts w:ascii="Times New Roman" w:cs="Times New Roman" w:hAnsi="Times New Roman"/>
                <w:sz w:val="24"/>
                <w:szCs w:val="24"/>
              </w:rPr>
            </w:pPr>
            <w:r>
              <w:rPr>
                <w:rFonts w:ascii="Times New Roman" w:cs="Times New Roman" w:hAnsi="Times New Roman"/>
                <w:sz w:val="24"/>
                <w:szCs w:val="24"/>
              </w:rPr>
              <w:t>85%</w:t>
            </w:r>
          </w:p>
        </w:tc>
        <w:tc>
          <w:tcPr>
            <w:cnfStyle w:val="000000010000"/>
            <w:tcW w:w="2929" w:type="dxa"/>
          </w:tcPr>
          <w:p w14:paraId="000004C0">
            <w:pPr>
              <w:jc w:val="both"/>
              <w:rPr>
                <w:rFonts w:ascii="Times New Roman" w:cs="Times New Roman" w:hAnsi="Times New Roman"/>
                <w:sz w:val="24"/>
                <w:szCs w:val="24"/>
              </w:rPr>
            </w:pPr>
            <w:r>
              <w:rPr>
                <w:rFonts w:ascii="Times New Roman" w:cs="Times New Roman" w:hAnsi="Times New Roman"/>
                <w:sz w:val="24"/>
                <w:szCs w:val="24"/>
              </w:rPr>
              <w:t>Экономия водных ресурсов</w:t>
            </w:r>
          </w:p>
        </w:tc>
      </w:tr>
      <w:tr>
        <w:trPr>
          <w:jc w:val="center"/>
        </w:trPr>
        <w:tc>
          <w:tcPr>
            <w:cnfStyle w:val="001000100000"/>
            <w:tcW w:w="2323" w:type="dxa"/>
          </w:tcPr>
          <w:p w14:paraId="000004C1">
            <w:pPr>
              <w:jc w:val="both"/>
              <w:rPr>
                <w:rFonts w:ascii="Times New Roman" w:cs="Times New Roman" w:hAnsi="Times New Roman"/>
                <w:sz w:val="24"/>
                <w:szCs w:val="24"/>
              </w:rPr>
            </w:pPr>
            <w:r>
              <w:rPr>
                <w:rFonts w:ascii="Times New Roman" w:cs="Times New Roman" w:hAnsi="Times New Roman"/>
                <w:sz w:val="24"/>
                <w:szCs w:val="24"/>
              </w:rPr>
              <w:t>Улавливание цементной пыли</w:t>
            </w:r>
          </w:p>
        </w:tc>
        <w:tc>
          <w:tcPr>
            <w:cnfStyle w:val="000000100000"/>
            <w:tcW w:w="2407" w:type="dxa"/>
          </w:tcPr>
          <w:p w14:paraId="000004C2">
            <w:pPr>
              <w:jc w:val="center"/>
              <w:rPr>
                <w:rFonts w:ascii="Times New Roman" w:cs="Times New Roman" w:hAnsi="Times New Roman"/>
                <w:sz w:val="24"/>
                <w:szCs w:val="24"/>
              </w:rPr>
            </w:pPr>
            <w:r>
              <w:rPr>
                <w:rFonts w:ascii="Times New Roman" w:cs="Times New Roman" w:hAnsi="Times New Roman"/>
                <w:sz w:val="24"/>
                <w:szCs w:val="24"/>
              </w:rPr>
              <w:t>90% (требование СанПиН)</w:t>
            </w:r>
          </w:p>
        </w:tc>
        <w:tc>
          <w:tcPr>
            <w:cnfStyle w:val="000000100000"/>
            <w:tcW w:w="1700" w:type="dxa"/>
          </w:tcPr>
          <w:p w14:paraId="000004C3">
            <w:pPr>
              <w:jc w:val="center"/>
              <w:rPr>
                <w:rFonts w:ascii="Times New Roman" w:cs="Times New Roman" w:hAnsi="Times New Roman"/>
                <w:sz w:val="24"/>
                <w:szCs w:val="24"/>
              </w:rPr>
            </w:pPr>
            <w:r>
              <w:rPr>
                <w:rFonts w:ascii="Times New Roman" w:cs="Times New Roman" w:hAnsi="Times New Roman"/>
                <w:sz w:val="24"/>
                <w:szCs w:val="24"/>
              </w:rPr>
              <w:t>95%</w:t>
            </w:r>
          </w:p>
        </w:tc>
        <w:tc>
          <w:tcPr>
            <w:cnfStyle w:val="000000100000"/>
            <w:tcW w:w="2929" w:type="dxa"/>
          </w:tcPr>
          <w:p w14:paraId="000004C4">
            <w:pPr>
              <w:jc w:val="both"/>
              <w:rPr>
                <w:rFonts w:ascii="Times New Roman" w:cs="Times New Roman" w:hAnsi="Times New Roman"/>
                <w:sz w:val="24"/>
                <w:szCs w:val="24"/>
              </w:rPr>
            </w:pPr>
            <w:r>
              <w:rPr>
                <w:rFonts w:ascii="Times New Roman" w:cs="Times New Roman" w:hAnsi="Times New Roman"/>
                <w:sz w:val="24"/>
                <w:szCs w:val="24"/>
              </w:rPr>
              <w:t>Снижение выбросов до 5 мг/м³</w:t>
            </w:r>
          </w:p>
        </w:tc>
      </w:tr>
      <w:tr>
        <w:trPr>
          <w:jc w:val="center"/>
        </w:trPr>
        <w:tc>
          <w:tcPr>
            <w:cnfStyle w:val="001000010000"/>
            <w:tcW w:w="2323" w:type="dxa"/>
          </w:tcPr>
          <w:p w14:paraId="000004C5">
            <w:pPr>
              <w:jc w:val="both"/>
              <w:rPr>
                <w:rFonts w:ascii="Times New Roman" w:cs="Times New Roman" w:hAnsi="Times New Roman"/>
                <w:sz w:val="24"/>
                <w:szCs w:val="24"/>
              </w:rPr>
            </w:pPr>
            <w:r>
              <w:rPr>
                <w:rFonts w:ascii="Times New Roman" w:cs="Times New Roman" w:hAnsi="Times New Roman"/>
                <w:sz w:val="24"/>
                <w:szCs w:val="24"/>
              </w:rPr>
              <w:t>Уровень шума на границе СЗЗ</w:t>
            </w:r>
          </w:p>
        </w:tc>
        <w:tc>
          <w:tcPr>
            <w:cnfStyle w:val="000000010000"/>
            <w:tcW w:w="2407" w:type="dxa"/>
          </w:tcPr>
          <w:p w14:paraId="000004C6">
            <w:pPr>
              <w:jc w:val="center"/>
              <w:rPr>
                <w:rFonts w:ascii="Times New Roman" w:cs="Times New Roman" w:hAnsi="Times New Roman"/>
                <w:sz w:val="24"/>
                <w:szCs w:val="24"/>
              </w:rPr>
            </w:pPr>
            <w:r>
              <w:rPr>
                <w:rFonts w:ascii="Times New Roman" w:cs="Times New Roman" w:hAnsi="Times New Roman"/>
                <w:sz w:val="24"/>
                <w:szCs w:val="24"/>
              </w:rPr>
              <w:t>55 дБА (днём)</w:t>
            </w:r>
          </w:p>
        </w:tc>
        <w:tc>
          <w:tcPr>
            <w:cnfStyle w:val="000000010000"/>
            <w:tcW w:w="1700" w:type="dxa"/>
          </w:tcPr>
          <w:p w14:paraId="000004C7">
            <w:pPr>
              <w:jc w:val="center"/>
              <w:rPr>
                <w:rFonts w:ascii="Times New Roman" w:cs="Times New Roman" w:hAnsi="Times New Roman"/>
                <w:sz w:val="24"/>
                <w:szCs w:val="24"/>
              </w:rPr>
            </w:pPr>
            <w:r>
              <w:rPr>
                <w:rFonts w:ascii="Times New Roman" w:cs="Times New Roman" w:hAnsi="Times New Roman"/>
                <w:sz w:val="24"/>
                <w:szCs w:val="24"/>
              </w:rPr>
              <w:t>52 дБА</w:t>
            </w:r>
          </w:p>
        </w:tc>
        <w:tc>
          <w:tcPr>
            <w:cnfStyle w:val="000000010000"/>
            <w:tcW w:w="2929" w:type="dxa"/>
          </w:tcPr>
          <w:p w14:paraId="000004C8">
            <w:pPr>
              <w:jc w:val="both"/>
              <w:rPr>
                <w:rFonts w:ascii="Times New Roman" w:cs="Times New Roman" w:hAnsi="Times New Roman"/>
                <w:sz w:val="24"/>
                <w:szCs w:val="24"/>
              </w:rPr>
            </w:pPr>
            <w:r>
              <w:rPr>
                <w:rFonts w:ascii="Times New Roman" w:cs="Times New Roman" w:hAnsi="Times New Roman"/>
                <w:sz w:val="24"/>
                <w:szCs w:val="24"/>
              </w:rPr>
              <w:t>Соответствие нормам</w:t>
            </w:r>
          </w:p>
        </w:tc>
      </w:tr>
      <w:tr>
        <w:trPr>
          <w:jc w:val="center"/>
        </w:trPr>
        <w:tc>
          <w:tcPr>
            <w:cnfStyle w:val="001000100000"/>
            <w:tcW w:w="2323" w:type="dxa"/>
          </w:tcPr>
          <w:p w14:paraId="000004C9">
            <w:pPr>
              <w:jc w:val="both"/>
              <w:rPr>
                <w:rFonts w:ascii="Times New Roman" w:cs="Times New Roman" w:hAnsi="Times New Roman"/>
                <w:sz w:val="24"/>
                <w:szCs w:val="24"/>
              </w:rPr>
            </w:pPr>
            <w:r>
              <w:rPr>
                <w:rFonts w:ascii="Times New Roman" w:cs="Times New Roman" w:hAnsi="Times New Roman"/>
                <w:sz w:val="24"/>
                <w:szCs w:val="24"/>
              </w:rPr>
              <w:t>Доля вторичного сырья</w:t>
            </w:r>
          </w:p>
        </w:tc>
        <w:tc>
          <w:tcPr>
            <w:cnfStyle w:val="000000100000"/>
            <w:tcW w:w="2407" w:type="dxa"/>
          </w:tcPr>
          <w:p w14:paraId="000004CA">
            <w:pPr>
              <w:jc w:val="center"/>
              <w:rPr>
                <w:rFonts w:ascii="Times New Roman" w:cs="Times New Roman" w:hAnsi="Times New Roman"/>
                <w:sz w:val="24"/>
                <w:szCs w:val="24"/>
              </w:rPr>
            </w:pPr>
            <w:r>
              <w:rPr>
                <w:rFonts w:ascii="Times New Roman" w:cs="Times New Roman" w:hAnsi="Times New Roman"/>
                <w:sz w:val="24"/>
                <w:szCs w:val="24"/>
              </w:rPr>
              <w:t>10% (требование с 2025 г.)</w:t>
            </w:r>
          </w:p>
        </w:tc>
        <w:tc>
          <w:tcPr>
            <w:cnfStyle w:val="000000100000"/>
            <w:tcW w:w="1700" w:type="dxa"/>
          </w:tcPr>
          <w:p w14:paraId="000004CB">
            <w:pPr>
              <w:jc w:val="center"/>
              <w:rPr>
                <w:rFonts w:ascii="Times New Roman" w:cs="Times New Roman" w:hAnsi="Times New Roman"/>
                <w:sz w:val="24"/>
                <w:szCs w:val="24"/>
              </w:rPr>
            </w:pPr>
            <w:r>
              <w:rPr>
                <w:rFonts w:ascii="Times New Roman" w:cs="Times New Roman" w:hAnsi="Times New Roman"/>
                <w:sz w:val="24"/>
                <w:szCs w:val="24"/>
              </w:rPr>
              <w:t>10%</w:t>
            </w:r>
          </w:p>
        </w:tc>
        <w:tc>
          <w:tcPr>
            <w:cnfStyle w:val="000000100000"/>
            <w:tcW w:w="2929" w:type="dxa"/>
          </w:tcPr>
          <w:p w14:paraId="000004CC">
            <w:pPr>
              <w:jc w:val="both"/>
              <w:rPr>
                <w:rFonts w:ascii="Times New Roman" w:cs="Times New Roman" w:hAnsi="Times New Roman"/>
                <w:sz w:val="24"/>
                <w:szCs w:val="24"/>
              </w:rPr>
            </w:pPr>
            <w:r>
              <w:rPr>
                <w:rFonts w:ascii="Times New Roman" w:cs="Times New Roman" w:hAnsi="Times New Roman"/>
                <w:sz w:val="24"/>
                <w:szCs w:val="24"/>
              </w:rPr>
              <w:t>Соответствие законодательству</w:t>
            </w:r>
          </w:p>
        </w:tc>
      </w:tr>
    </w:tbl>
    <w:p w14:paraId="000004CD">
      <w:pPr>
        <w:spacing w:beforeAutospacing="0" w:after="0" w:afterAutospacing="0" w:line="360" w:lineRule="auto"/>
        <w:jc w:val="both"/>
        <w:rPr>
          <w:rFonts w:ascii="Times New Roman" w:cs="Times New Roman" w:hAnsi="Times New Roman"/>
          <w:sz w:val="28"/>
          <w:szCs w:val="28"/>
        </w:rPr>
      </w:pPr>
    </w:p>
    <w:p w14:paraId="000004C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условиях Пензенской области, где действуют региональные программы поддержки «зелёных» производств, соблюдение экологических норм может служить дополнительным аргументом для получения субсидий.</w:t>
      </w:r>
    </w:p>
    <w:p w14:paraId="000004C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Проведённая детальная проработка операционных и логистических процессов позволяет сделать следующие выводы. Разработанная технологическая схема производства гиперпрессованного кирпича охватывает все стадии – от приёмки сырья до отгрузки готовой продукции клиентам. Основное оборудование (пресс «Монолит-10», смеситель, пропарочная камера) выбрано с учётом климатических особенностей Пензенской области – пропарочная камера позволяет вести производство круглый год даже при отрицательных температурах.</w:t>
      </w:r>
    </w:p>
    <w:p w14:paraId="000004D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Система контроля качества является трёхуровневой (входной, операционный, приёмочный контроль) и полностью соответствует требованиям ГОСТ 6133-2019 [14]. Собственная лаборатория предприятия (пресс, весы, сушильный шкаф) обеспечивает оперативный контроль, а наиболее сложные испытания (морозостойкость, радиационный фон) передаются в аккредитованные лаборатории Пензенского ЦСМ и ПГУАС.</w:t>
      </w:r>
    </w:p>
    <w:p w14:paraId="000004D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Логистическая схема построена на максимальном использовании местных источников сырья: отсевы известняка поставляются с трёх карьеров Пензенской области (расстояние 70–100 км), что минимизирует транспортные расходы. Цемент поставляется из соседних регионов (Мордовия, Ульяновская область). Страховые запасы (10–14 дней) защищают производство от кратковременных перебоев. Исходящая логистика предлагает три варианта отгрузки: самовывоз, доставка собственным транспортом (в радиусе 300 км) и доставка транспортными компаниями.</w:t>
      </w:r>
    </w:p>
    <w:p w14:paraId="000004D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Мероприятия по энергоэффективности (частотные преобразователи, светодиодное освещение, рекуперация тепла) и экологии позволяют снизить операционные расходы и соответствовать законодательным требованиям, включая новые нормы о доле вторичного сырья (распоряжение Правительства РФ № 2330-р). </w:t>
      </w:r>
    </w:p>
    <w:p w14:paraId="000004D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Таким образом, предложенная организация операционных и логистических процессов обеспечивает стабильное, качественное и экономически эффективное производство гиперпрессованного кирпича в условиях Пензенской области.</w:t>
      </w:r>
    </w:p>
    <w:p w14:paraId="000004D4">
      <w:pPr>
        <w:spacing w:beforeAutospacing="0" w:after="0" w:afterAutospacing="0" w:line="360" w:lineRule="auto"/>
        <w:ind w:firstLine="709"/>
        <w:jc w:val="both"/>
        <w:rPr>
          <w:rFonts w:ascii="Times New Roman" w:cs="Times New Roman" w:hAnsi="Times New Roman"/>
          <w:sz w:val="28"/>
          <w:szCs w:val="28"/>
        </w:rPr>
      </w:pPr>
    </w:p>
    <w:p w14:paraId="000004D5">
      <w:pPr>
        <w:spacing w:beforeAutospacing="0" w:after="0" w:afterAutospacing="0" w:line="360" w:lineRule="auto"/>
        <w:ind w:firstLine="709"/>
        <w:jc w:val="both"/>
        <w:rPr>
          <w:rFonts w:ascii="Times New Roman" w:cs="Times New Roman" w:hAnsi="Times New Roman"/>
          <w:sz w:val="28"/>
          <w:szCs w:val="28"/>
        </w:rPr>
      </w:pPr>
    </w:p>
    <w:p w14:paraId="000004D6">
      <w:pPr>
        <w:pStyle w:val="Heading1"/>
        <w:spacing w:before="0" w:beforeAutospacing="0" w:afterAutospacing="0" w:line="360" w:lineRule="auto"/>
        <w:ind w:firstLine="709"/>
        <w:rPr>
          <w:rFonts w:ascii="Times New Roman" w:cs="Times New Roman" w:hAnsi="Times New Roman"/>
          <w:b/>
          <w:bCs/>
          <w:color w:val="auto"/>
          <w:sz w:val="28"/>
          <w:szCs w:val="28"/>
        </w:rPr>
      </w:pPr>
      <w:bookmarkStart w:id="9" w:name="_Toc232406684"/>
      <w:r>
        <w:rPr>
          <w:rFonts w:ascii="Times New Roman" w:cs="Times New Roman" w:hAnsi="Times New Roman"/>
          <w:b/>
          <w:bCs/>
          <w:color w:val="auto"/>
          <w:sz w:val="28"/>
          <w:szCs w:val="28"/>
        </w:rPr>
        <w:t>3.4 Экономическое обоснование предлагаемых мероприятий</w:t>
      </w:r>
      <w:bookmarkEnd w:id="9"/>
    </w:p>
    <w:p w14:paraId="000004D7">
      <w:pPr>
        <w:spacing w:beforeAutospacing="0" w:after="0" w:afterAutospacing="0" w:line="360" w:lineRule="auto"/>
        <w:ind w:firstLine="709"/>
        <w:jc w:val="both"/>
        <w:rPr>
          <w:rFonts w:ascii="Times New Roman" w:cs="Times New Roman" w:hAnsi="Times New Roman"/>
          <w:sz w:val="28"/>
          <w:szCs w:val="28"/>
        </w:rPr>
      </w:pPr>
    </w:p>
    <w:p w14:paraId="000004D8">
      <w:pPr>
        <w:spacing w:beforeAutospacing="0" w:after="0" w:afterAutospacing="0" w:line="360" w:lineRule="auto"/>
        <w:ind w:firstLine="709"/>
        <w:jc w:val="both"/>
        <w:rPr>
          <w:rFonts w:ascii="Times New Roman" w:cs="Times New Roman" w:hAnsi="Times New Roman"/>
          <w:sz w:val="28"/>
          <w:szCs w:val="28"/>
        </w:rPr>
      </w:pPr>
    </w:p>
    <w:p w14:paraId="000004D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Финальный и самый важный раздел бизнес-плана – экономическое обоснование. В данном параграфе представлены детальные расчёты капитальных затрат, текущих издержек, выручки, прибыли, показателей окупаемости и рентабельности проекта, а также анализ чувствительности и безубыточности с учётом реализации в Пензенской области в 2025–2026 годах.</w:t>
      </w:r>
    </w:p>
    <w:p w14:paraId="000004D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Общая потребность в инвестициях составляет 87 000 тыс. руб. (с учётом приобретения лабораторного оборудования и увеличения резерва на оборотные средства). Структура затрат представлена в таблице 3.7.</w:t>
      </w:r>
    </w:p>
    <w:p w14:paraId="000004DB">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3.7 – Капитальные затраты на реализацию проекта в Пензенской области, тыс. руб.</w:t>
      </w:r>
    </w:p>
    <w:tbl>
      <w:tblPr>
        <w:tblStyle w:val="TableGrid"/>
        <w:tblW w:w="9382" w:type="dxa"/>
        <w:tblInd w:w="114" w:type="dxa"/>
        <w:tblLook w:val="04A0"/>
      </w:tblPr>
      <w:tblGrid>
        <w:gridCol w:w="4370"/>
        <w:gridCol w:w="967"/>
        <w:gridCol w:w="790"/>
        <w:gridCol w:w="3255"/>
      </w:tblGrid>
      <w:tr>
        <w:trPr/>
        <w:tc>
          <w:tcPr>
            <w:cnfStyle w:val="101000000000"/>
            <w:tcW w:w="4370" w:type="dxa"/>
          </w:tcPr>
          <w:p w14:paraId="000004DC">
            <w:pPr>
              <w:jc w:val="center"/>
              <w:rPr>
                <w:rFonts w:ascii="Times New Roman" w:cs="Times New Roman" w:hAnsi="Times New Roman"/>
                <w:sz w:val="24"/>
                <w:szCs w:val="24"/>
              </w:rPr>
            </w:pPr>
            <w:r>
              <w:rPr>
                <w:rFonts w:ascii="Times New Roman" w:cs="Times New Roman" w:hAnsi="Times New Roman"/>
                <w:sz w:val="24"/>
                <w:szCs w:val="24"/>
              </w:rPr>
              <w:t>Статья затрат</w:t>
            </w:r>
          </w:p>
        </w:tc>
        <w:tc>
          <w:tcPr>
            <w:cnfStyle w:val="100000000000"/>
            <w:tcW w:w="967" w:type="dxa"/>
          </w:tcPr>
          <w:p w14:paraId="000004DD">
            <w:pPr>
              <w:jc w:val="center"/>
              <w:rPr>
                <w:rFonts w:ascii="Times New Roman" w:cs="Times New Roman" w:hAnsi="Times New Roman"/>
                <w:sz w:val="24"/>
                <w:szCs w:val="24"/>
              </w:rPr>
            </w:pPr>
            <w:r>
              <w:rPr>
                <w:rFonts w:ascii="Times New Roman" w:cs="Times New Roman" w:hAnsi="Times New Roman"/>
                <w:sz w:val="24"/>
                <w:szCs w:val="24"/>
              </w:rPr>
              <w:t>Сумма, тыс. руб.</w:t>
            </w:r>
          </w:p>
        </w:tc>
        <w:tc>
          <w:tcPr>
            <w:cnfStyle w:val="100000000000"/>
            <w:tcW w:w="790" w:type="dxa"/>
          </w:tcPr>
          <w:p w14:paraId="000004DE">
            <w:pPr>
              <w:jc w:val="center"/>
              <w:rPr>
                <w:rFonts w:ascii="Times New Roman" w:cs="Times New Roman" w:hAnsi="Times New Roman"/>
                <w:sz w:val="24"/>
                <w:szCs w:val="24"/>
              </w:rPr>
            </w:pPr>
            <w:r>
              <w:rPr>
                <w:rFonts w:ascii="Times New Roman" w:cs="Times New Roman" w:hAnsi="Times New Roman"/>
                <w:sz w:val="24"/>
                <w:szCs w:val="24"/>
              </w:rPr>
              <w:t>Доля, %</w:t>
            </w:r>
          </w:p>
        </w:tc>
        <w:tc>
          <w:tcPr>
            <w:cnfStyle w:val="100000000000"/>
            <w:tcW w:w="3255" w:type="dxa"/>
          </w:tcPr>
          <w:p w14:paraId="000004DF">
            <w:pPr>
              <w:jc w:val="center"/>
              <w:rPr>
                <w:rFonts w:ascii="Times New Roman" w:cs="Times New Roman" w:hAnsi="Times New Roman"/>
                <w:sz w:val="24"/>
                <w:szCs w:val="24"/>
              </w:rPr>
            </w:pPr>
            <w:r>
              <w:rPr>
                <w:rFonts w:ascii="Times New Roman" w:cs="Times New Roman" w:hAnsi="Times New Roman"/>
                <w:sz w:val="24"/>
                <w:szCs w:val="24"/>
              </w:rPr>
              <w:t>Обоснование</w:t>
            </w:r>
          </w:p>
        </w:tc>
      </w:tr>
      <w:tr>
        <w:trPr/>
        <w:tc>
          <w:tcPr>
            <w:cnfStyle w:val="001000100000"/>
            <w:tcW w:w="4370" w:type="dxa"/>
          </w:tcPr>
          <w:p w14:paraId="000004E0">
            <w:pPr>
              <w:jc w:val="both"/>
              <w:rPr>
                <w:rFonts w:ascii="Times New Roman" w:cs="Times New Roman" w:hAnsi="Times New Roman"/>
                <w:sz w:val="24"/>
                <w:szCs w:val="24"/>
              </w:rPr>
            </w:pPr>
            <w:r>
              <w:rPr>
                <w:rFonts w:ascii="Times New Roman" w:cs="Times New Roman" w:hAnsi="Times New Roman"/>
                <w:sz w:val="24"/>
                <w:szCs w:val="24"/>
              </w:rPr>
              <w:t>Оборудование (пресс, смеситель, силосы, дозаторы, транспортёры, пропарочная камера, погрузчик, лабораторное оборудование)</w:t>
            </w:r>
          </w:p>
        </w:tc>
        <w:tc>
          <w:tcPr>
            <w:cnfStyle w:val="000000100000"/>
            <w:tcW w:w="967" w:type="dxa"/>
          </w:tcPr>
          <w:p w14:paraId="000004E1">
            <w:pPr>
              <w:jc w:val="center"/>
              <w:rPr>
                <w:rFonts w:ascii="Times New Roman" w:cs="Times New Roman" w:hAnsi="Times New Roman"/>
                <w:sz w:val="24"/>
                <w:szCs w:val="24"/>
              </w:rPr>
            </w:pPr>
            <w:r>
              <w:rPr>
                <w:rFonts w:ascii="Times New Roman" w:cs="Times New Roman" w:hAnsi="Times New Roman"/>
                <w:sz w:val="24"/>
                <w:szCs w:val="24"/>
              </w:rPr>
              <w:t>47 000</w:t>
            </w:r>
          </w:p>
        </w:tc>
        <w:tc>
          <w:tcPr>
            <w:cnfStyle w:val="000000100000"/>
            <w:tcW w:w="790" w:type="dxa"/>
          </w:tcPr>
          <w:p w14:paraId="000004E2">
            <w:pPr>
              <w:jc w:val="center"/>
              <w:rPr>
                <w:rFonts w:ascii="Times New Roman" w:cs="Times New Roman" w:hAnsi="Times New Roman"/>
                <w:sz w:val="24"/>
                <w:szCs w:val="24"/>
              </w:rPr>
            </w:pPr>
            <w:r>
              <w:rPr>
                <w:rFonts w:ascii="Times New Roman" w:cs="Times New Roman" w:hAnsi="Times New Roman"/>
                <w:sz w:val="24"/>
                <w:szCs w:val="24"/>
              </w:rPr>
              <w:t>54,0</w:t>
            </w:r>
          </w:p>
        </w:tc>
        <w:tc>
          <w:tcPr>
            <w:cnfStyle w:val="000000100000"/>
            <w:tcW w:w="3255" w:type="dxa"/>
          </w:tcPr>
          <w:p w14:paraId="000004E3">
            <w:pPr>
              <w:jc w:val="both"/>
              <w:rPr>
                <w:rFonts w:ascii="Times New Roman" w:cs="Times New Roman" w:hAnsi="Times New Roman"/>
                <w:sz w:val="24"/>
                <w:szCs w:val="24"/>
              </w:rPr>
            </w:pPr>
            <w:r>
              <w:rPr>
                <w:rFonts w:ascii="Times New Roman" w:cs="Times New Roman" w:hAnsi="Times New Roman"/>
                <w:sz w:val="24"/>
                <w:szCs w:val="24"/>
              </w:rPr>
              <w:t>Поставщики: «Монолит» (Воронеж), «Стройтехника» (Челябинск), пензенские производители</w:t>
            </w:r>
          </w:p>
        </w:tc>
      </w:tr>
      <w:tr>
        <w:trPr/>
        <w:tc>
          <w:tcPr>
            <w:cnfStyle w:val="001000010000"/>
            <w:tcW w:w="4370" w:type="dxa"/>
          </w:tcPr>
          <w:p w14:paraId="000004E4">
            <w:pPr>
              <w:jc w:val="both"/>
              <w:rPr>
                <w:rFonts w:ascii="Times New Roman" w:cs="Times New Roman" w:hAnsi="Times New Roman"/>
                <w:sz w:val="24"/>
                <w:szCs w:val="24"/>
              </w:rPr>
            </w:pPr>
            <w:r>
              <w:rPr>
                <w:rFonts w:ascii="Times New Roman" w:cs="Times New Roman" w:hAnsi="Times New Roman"/>
                <w:sz w:val="24"/>
                <w:szCs w:val="24"/>
              </w:rPr>
              <w:t>Строительно-монтажные работы (аренда цеха 1000 кв. м на 12 месяцев + подготовка полов, освещение, отопление, вентиляция)</w:t>
            </w:r>
          </w:p>
        </w:tc>
        <w:tc>
          <w:tcPr>
            <w:cnfStyle w:val="000000010000"/>
            <w:tcW w:w="967" w:type="dxa"/>
          </w:tcPr>
          <w:p w14:paraId="000004E5">
            <w:pPr>
              <w:jc w:val="center"/>
              <w:rPr>
                <w:rFonts w:ascii="Times New Roman" w:cs="Times New Roman" w:hAnsi="Times New Roman"/>
                <w:sz w:val="24"/>
                <w:szCs w:val="24"/>
              </w:rPr>
            </w:pPr>
            <w:r>
              <w:rPr>
                <w:rFonts w:ascii="Times New Roman" w:cs="Times New Roman" w:hAnsi="Times New Roman"/>
                <w:sz w:val="24"/>
                <w:szCs w:val="24"/>
              </w:rPr>
              <w:t>12 000</w:t>
            </w:r>
          </w:p>
        </w:tc>
        <w:tc>
          <w:tcPr>
            <w:cnfStyle w:val="000000010000"/>
            <w:tcW w:w="790" w:type="dxa"/>
          </w:tcPr>
          <w:p w14:paraId="000004E6">
            <w:pPr>
              <w:jc w:val="center"/>
              <w:rPr>
                <w:rFonts w:ascii="Times New Roman" w:cs="Times New Roman" w:hAnsi="Times New Roman"/>
                <w:sz w:val="24"/>
                <w:szCs w:val="24"/>
              </w:rPr>
            </w:pPr>
            <w:r>
              <w:rPr>
                <w:rFonts w:ascii="Times New Roman" w:cs="Times New Roman" w:hAnsi="Times New Roman"/>
                <w:sz w:val="24"/>
                <w:szCs w:val="24"/>
              </w:rPr>
              <w:t>13,8</w:t>
            </w:r>
          </w:p>
        </w:tc>
        <w:tc>
          <w:tcPr>
            <w:cnfStyle w:val="000000010000"/>
            <w:tcW w:w="3255" w:type="dxa"/>
          </w:tcPr>
          <w:p w14:paraId="000004E7">
            <w:pPr>
              <w:jc w:val="both"/>
              <w:rPr>
                <w:rFonts w:ascii="Times New Roman" w:cs="Times New Roman" w:hAnsi="Times New Roman"/>
                <w:sz w:val="24"/>
                <w:szCs w:val="24"/>
              </w:rPr>
            </w:pPr>
            <w:r>
              <w:rPr>
                <w:rFonts w:ascii="Times New Roman" w:cs="Times New Roman" w:hAnsi="Times New Roman"/>
                <w:sz w:val="24"/>
                <w:szCs w:val="24"/>
              </w:rPr>
              <w:t>Аренда в промышленной зоне Пензы – 350 руб./кв. м в месяц</w:t>
            </w:r>
          </w:p>
        </w:tc>
      </w:tr>
      <w:tr>
        <w:trPr/>
        <w:tc>
          <w:tcPr>
            <w:cnfStyle w:val="001000100000"/>
            <w:tcW w:w="4370" w:type="dxa"/>
          </w:tcPr>
          <w:p w14:paraId="000004E8">
            <w:pPr>
              <w:jc w:val="both"/>
              <w:rPr>
                <w:rFonts w:ascii="Times New Roman" w:cs="Times New Roman" w:hAnsi="Times New Roman"/>
                <w:sz w:val="24"/>
                <w:szCs w:val="24"/>
              </w:rPr>
            </w:pPr>
            <w:r>
              <w:rPr>
                <w:rFonts w:ascii="Times New Roman" w:cs="Times New Roman" w:hAnsi="Times New Roman"/>
                <w:sz w:val="24"/>
                <w:szCs w:val="24"/>
              </w:rPr>
              <w:t>Сырьё на стартовый период (3 месяца) – цемент, отсевы, добавки</w:t>
            </w:r>
          </w:p>
        </w:tc>
        <w:tc>
          <w:tcPr>
            <w:cnfStyle w:val="000000100000"/>
            <w:tcW w:w="967" w:type="dxa"/>
          </w:tcPr>
          <w:p w14:paraId="000004E9">
            <w:pPr>
              <w:jc w:val="center"/>
              <w:rPr>
                <w:rFonts w:ascii="Times New Roman" w:cs="Times New Roman" w:hAnsi="Times New Roman"/>
                <w:sz w:val="24"/>
                <w:szCs w:val="24"/>
              </w:rPr>
            </w:pPr>
            <w:r>
              <w:rPr>
                <w:rFonts w:ascii="Times New Roman" w:cs="Times New Roman" w:hAnsi="Times New Roman"/>
                <w:sz w:val="24"/>
                <w:szCs w:val="24"/>
              </w:rPr>
              <w:t>8 500</w:t>
            </w:r>
          </w:p>
        </w:tc>
        <w:tc>
          <w:tcPr>
            <w:cnfStyle w:val="000000100000"/>
            <w:tcW w:w="790" w:type="dxa"/>
          </w:tcPr>
          <w:p w14:paraId="000004EA">
            <w:pPr>
              <w:jc w:val="center"/>
              <w:rPr>
                <w:rFonts w:ascii="Times New Roman" w:cs="Times New Roman" w:hAnsi="Times New Roman"/>
                <w:sz w:val="24"/>
                <w:szCs w:val="24"/>
              </w:rPr>
            </w:pPr>
            <w:r>
              <w:rPr>
                <w:rFonts w:ascii="Times New Roman" w:cs="Times New Roman" w:hAnsi="Times New Roman"/>
                <w:sz w:val="24"/>
                <w:szCs w:val="24"/>
              </w:rPr>
              <w:t>9,8</w:t>
            </w:r>
          </w:p>
        </w:tc>
        <w:tc>
          <w:tcPr>
            <w:cnfStyle w:val="000000100000"/>
            <w:tcW w:w="3255" w:type="dxa"/>
          </w:tcPr>
          <w:p w14:paraId="000004EB">
            <w:pPr>
              <w:jc w:val="both"/>
              <w:rPr>
                <w:rFonts w:ascii="Times New Roman" w:cs="Times New Roman" w:hAnsi="Times New Roman"/>
                <w:sz w:val="24"/>
                <w:szCs w:val="24"/>
              </w:rPr>
            </w:pPr>
            <w:r>
              <w:rPr>
                <w:rFonts w:ascii="Times New Roman" w:cs="Times New Roman" w:hAnsi="Times New Roman"/>
                <w:sz w:val="24"/>
                <w:szCs w:val="24"/>
              </w:rPr>
              <w:t>Цены Пензенской области, страховой запас на случай роста цен</w:t>
            </w:r>
          </w:p>
        </w:tc>
      </w:tr>
      <w:tr>
        <w:trPr/>
        <w:tc>
          <w:tcPr>
            <w:cnfStyle w:val="001000010000"/>
            <w:tcW w:w="4370" w:type="dxa"/>
          </w:tcPr>
          <w:p w14:paraId="000004EC">
            <w:pPr>
              <w:jc w:val="both"/>
              <w:rPr>
                <w:rFonts w:ascii="Times New Roman" w:cs="Times New Roman" w:hAnsi="Times New Roman"/>
                <w:sz w:val="24"/>
                <w:szCs w:val="24"/>
              </w:rPr>
            </w:pPr>
            <w:r>
              <w:rPr>
                <w:rFonts w:ascii="Times New Roman" w:cs="Times New Roman" w:hAnsi="Times New Roman"/>
                <w:sz w:val="24"/>
                <w:szCs w:val="24"/>
              </w:rPr>
              <w:t>Транспорт (2 бортовых автомобиля с манипулятором, грузоподъёмность 10 т)</w:t>
            </w:r>
          </w:p>
        </w:tc>
        <w:tc>
          <w:tcPr>
            <w:cnfStyle w:val="000000010000"/>
            <w:tcW w:w="967" w:type="dxa"/>
          </w:tcPr>
          <w:p w14:paraId="000004ED">
            <w:pPr>
              <w:jc w:val="center"/>
              <w:rPr>
                <w:rFonts w:ascii="Times New Roman" w:cs="Times New Roman" w:hAnsi="Times New Roman"/>
                <w:sz w:val="24"/>
                <w:szCs w:val="24"/>
              </w:rPr>
            </w:pPr>
            <w:r>
              <w:rPr>
                <w:rFonts w:ascii="Times New Roman" w:cs="Times New Roman" w:hAnsi="Times New Roman"/>
                <w:sz w:val="24"/>
                <w:szCs w:val="24"/>
              </w:rPr>
              <w:t>6 500</w:t>
            </w:r>
          </w:p>
        </w:tc>
        <w:tc>
          <w:tcPr>
            <w:cnfStyle w:val="000000010000"/>
            <w:tcW w:w="790" w:type="dxa"/>
          </w:tcPr>
          <w:p w14:paraId="000004EE">
            <w:pPr>
              <w:jc w:val="center"/>
              <w:rPr>
                <w:rFonts w:ascii="Times New Roman" w:cs="Times New Roman" w:hAnsi="Times New Roman"/>
                <w:sz w:val="24"/>
                <w:szCs w:val="24"/>
              </w:rPr>
            </w:pPr>
            <w:r>
              <w:rPr>
                <w:rFonts w:ascii="Times New Roman" w:cs="Times New Roman" w:hAnsi="Times New Roman"/>
                <w:sz w:val="24"/>
                <w:szCs w:val="24"/>
              </w:rPr>
              <w:t>7,5</w:t>
            </w:r>
          </w:p>
        </w:tc>
        <w:tc>
          <w:tcPr>
            <w:cnfStyle w:val="000000010000"/>
            <w:tcW w:w="3255" w:type="dxa"/>
          </w:tcPr>
          <w:p w14:paraId="000004EF">
            <w:pPr>
              <w:jc w:val="both"/>
              <w:rPr>
                <w:rFonts w:ascii="Times New Roman" w:cs="Times New Roman" w:hAnsi="Times New Roman"/>
                <w:sz w:val="24"/>
                <w:szCs w:val="24"/>
              </w:rPr>
            </w:pPr>
            <w:r>
              <w:rPr>
                <w:rFonts w:ascii="Times New Roman" w:cs="Times New Roman" w:hAnsi="Times New Roman"/>
                <w:sz w:val="24"/>
                <w:szCs w:val="24"/>
              </w:rPr>
              <w:t>Новые автомобили (например, ГАЗон NEXT или аналоги)</w:t>
            </w:r>
          </w:p>
        </w:tc>
      </w:tr>
      <w:tr>
        <w:trPr/>
        <w:tc>
          <w:tcPr>
            <w:cnfStyle w:val="001000100000"/>
            <w:tcW w:w="4370" w:type="dxa"/>
          </w:tcPr>
          <w:p w14:paraId="000004F0">
            <w:pPr>
              <w:jc w:val="both"/>
              <w:rPr>
                <w:rFonts w:ascii="Times New Roman" w:cs="Times New Roman" w:hAnsi="Times New Roman"/>
                <w:sz w:val="24"/>
                <w:szCs w:val="24"/>
              </w:rPr>
            </w:pPr>
            <w:r>
              <w:rPr>
                <w:rFonts w:ascii="Times New Roman" w:cs="Times New Roman" w:hAnsi="Times New Roman"/>
                <w:sz w:val="24"/>
                <w:szCs w:val="24"/>
              </w:rPr>
              <w:t>Оборотные средства (ФОТ, аренда, коммуналка, маркетинг на 4 месяца)</w:t>
            </w:r>
          </w:p>
        </w:tc>
        <w:tc>
          <w:tcPr>
            <w:cnfStyle w:val="000000100000"/>
            <w:tcW w:w="967" w:type="dxa"/>
          </w:tcPr>
          <w:p w14:paraId="000004F1">
            <w:pPr>
              <w:jc w:val="center"/>
              <w:rPr>
                <w:rFonts w:ascii="Times New Roman" w:cs="Times New Roman" w:hAnsi="Times New Roman"/>
                <w:sz w:val="24"/>
                <w:szCs w:val="24"/>
              </w:rPr>
            </w:pPr>
            <w:r>
              <w:rPr>
                <w:rFonts w:ascii="Times New Roman" w:cs="Times New Roman" w:hAnsi="Times New Roman"/>
                <w:sz w:val="24"/>
                <w:szCs w:val="24"/>
              </w:rPr>
              <w:t>10 000</w:t>
            </w:r>
          </w:p>
        </w:tc>
        <w:tc>
          <w:tcPr>
            <w:cnfStyle w:val="000000100000"/>
            <w:tcW w:w="790" w:type="dxa"/>
          </w:tcPr>
          <w:p w14:paraId="000004F2">
            <w:pPr>
              <w:jc w:val="center"/>
              <w:rPr>
                <w:rFonts w:ascii="Times New Roman" w:cs="Times New Roman" w:hAnsi="Times New Roman"/>
                <w:sz w:val="24"/>
                <w:szCs w:val="24"/>
              </w:rPr>
            </w:pPr>
            <w:r>
              <w:rPr>
                <w:rFonts w:ascii="Times New Roman" w:cs="Times New Roman" w:hAnsi="Times New Roman"/>
                <w:sz w:val="24"/>
                <w:szCs w:val="24"/>
              </w:rPr>
              <w:t>11,5</w:t>
            </w:r>
          </w:p>
        </w:tc>
        <w:tc>
          <w:tcPr>
            <w:cnfStyle w:val="000000100000"/>
            <w:tcW w:w="3255" w:type="dxa"/>
          </w:tcPr>
          <w:p w14:paraId="000004F3">
            <w:pPr>
              <w:jc w:val="both"/>
              <w:rPr>
                <w:rFonts w:ascii="Times New Roman" w:cs="Times New Roman" w:hAnsi="Times New Roman"/>
                <w:sz w:val="24"/>
                <w:szCs w:val="24"/>
              </w:rPr>
            </w:pPr>
            <w:r>
              <w:rPr>
                <w:rFonts w:ascii="Times New Roman" w:cs="Times New Roman" w:hAnsi="Times New Roman"/>
                <w:sz w:val="24"/>
                <w:szCs w:val="24"/>
              </w:rPr>
              <w:t>Увеличен резерв (с 3 до 4 месяцев) из-за сезонности строительного рынка</w:t>
            </w:r>
          </w:p>
        </w:tc>
      </w:tr>
      <w:tr>
        <w:trPr/>
        <w:tc>
          <w:tcPr>
            <w:cnfStyle w:val="001000010000"/>
            <w:tcW w:w="4370" w:type="dxa"/>
          </w:tcPr>
          <w:p w14:paraId="000004F4">
            <w:pPr>
              <w:jc w:val="both"/>
              <w:rPr>
                <w:rFonts w:ascii="Times New Roman" w:cs="Times New Roman" w:hAnsi="Times New Roman"/>
                <w:sz w:val="24"/>
                <w:szCs w:val="24"/>
              </w:rPr>
            </w:pPr>
            <w:r>
              <w:rPr>
                <w:rFonts w:ascii="Times New Roman" w:cs="Times New Roman" w:hAnsi="Times New Roman"/>
                <w:sz w:val="24"/>
                <w:szCs w:val="24"/>
              </w:rPr>
              <w:t>Погрузочно-разгрузочное оборудование (вилочный погрузчик, гидравлические тележки)</w:t>
            </w:r>
          </w:p>
        </w:tc>
        <w:tc>
          <w:tcPr>
            <w:cnfStyle w:val="000000010000"/>
            <w:tcW w:w="967" w:type="dxa"/>
          </w:tcPr>
          <w:p w14:paraId="000004F5">
            <w:pPr>
              <w:jc w:val="center"/>
              <w:rPr>
                <w:rFonts w:ascii="Times New Roman" w:cs="Times New Roman" w:hAnsi="Times New Roman"/>
                <w:sz w:val="24"/>
                <w:szCs w:val="24"/>
              </w:rPr>
            </w:pPr>
            <w:r>
              <w:rPr>
                <w:rFonts w:ascii="Times New Roman" w:cs="Times New Roman" w:hAnsi="Times New Roman"/>
                <w:sz w:val="24"/>
                <w:szCs w:val="24"/>
              </w:rPr>
              <w:t>3 500</w:t>
            </w:r>
          </w:p>
        </w:tc>
        <w:tc>
          <w:tcPr>
            <w:cnfStyle w:val="000000010000"/>
            <w:tcW w:w="790" w:type="dxa"/>
          </w:tcPr>
          <w:p w14:paraId="000004F6">
            <w:pPr>
              <w:jc w:val="center"/>
              <w:rPr>
                <w:rFonts w:ascii="Times New Roman" w:cs="Times New Roman" w:hAnsi="Times New Roman"/>
                <w:sz w:val="24"/>
                <w:szCs w:val="24"/>
              </w:rPr>
            </w:pPr>
            <w:r>
              <w:rPr>
                <w:rFonts w:ascii="Times New Roman" w:cs="Times New Roman" w:hAnsi="Times New Roman"/>
                <w:sz w:val="24"/>
                <w:szCs w:val="24"/>
              </w:rPr>
              <w:t>4,0</w:t>
            </w:r>
          </w:p>
        </w:tc>
        <w:tc>
          <w:tcPr>
            <w:cnfStyle w:val="000000010000"/>
            <w:tcW w:w="3255" w:type="dxa"/>
          </w:tcPr>
          <w:p w14:paraId="000004F7">
            <w:pPr>
              <w:jc w:val="both"/>
              <w:rPr>
                <w:rFonts w:ascii="Times New Roman" w:cs="Times New Roman" w:hAnsi="Times New Roman"/>
                <w:sz w:val="24"/>
                <w:szCs w:val="24"/>
              </w:rPr>
            </w:pPr>
            <w:r>
              <w:rPr>
                <w:rFonts w:ascii="Times New Roman" w:cs="Times New Roman" w:hAnsi="Times New Roman"/>
                <w:sz w:val="24"/>
                <w:szCs w:val="24"/>
              </w:rPr>
              <w:t>Вилочный погрузчик – новый (б/у не рекомендуется из-за надёжности)</w:t>
            </w:r>
          </w:p>
        </w:tc>
      </w:tr>
      <w:tr>
        <w:trPr/>
        <w:tc>
          <w:tcPr>
            <w:cnfStyle w:val="001000100000"/>
            <w:tcW w:w="4370" w:type="dxa"/>
          </w:tcPr>
          <w:p w14:paraId="000004F8">
            <w:pPr>
              <w:jc w:val="both"/>
              <w:rPr>
                <w:rFonts w:ascii="Times New Roman" w:cs="Times New Roman" w:hAnsi="Times New Roman"/>
                <w:sz w:val="24"/>
                <w:szCs w:val="24"/>
              </w:rPr>
            </w:pPr>
            <w:r>
              <w:rPr>
                <w:rFonts w:ascii="Times New Roman" w:cs="Times New Roman" w:hAnsi="Times New Roman"/>
                <w:sz w:val="24"/>
                <w:szCs w:val="24"/>
              </w:rPr>
              <w:t>Регистрация, лицензии, сертификация, декларации</w:t>
            </w:r>
          </w:p>
        </w:tc>
        <w:tc>
          <w:tcPr>
            <w:cnfStyle w:val="000000100000"/>
            <w:tcW w:w="967" w:type="dxa"/>
          </w:tcPr>
          <w:p w14:paraId="000004F9">
            <w:pPr>
              <w:jc w:val="center"/>
              <w:rPr>
                <w:rFonts w:ascii="Times New Roman" w:cs="Times New Roman" w:hAnsi="Times New Roman"/>
                <w:sz w:val="24"/>
                <w:szCs w:val="24"/>
              </w:rPr>
            </w:pPr>
            <w:r>
              <w:rPr>
                <w:rFonts w:ascii="Times New Roman" w:cs="Times New Roman" w:hAnsi="Times New Roman"/>
                <w:sz w:val="24"/>
                <w:szCs w:val="24"/>
              </w:rPr>
              <w:t>500</w:t>
            </w:r>
          </w:p>
        </w:tc>
        <w:tc>
          <w:tcPr>
            <w:cnfStyle w:val="000000100000"/>
            <w:tcW w:w="790" w:type="dxa"/>
          </w:tcPr>
          <w:p w14:paraId="000004FA">
            <w:pPr>
              <w:jc w:val="center"/>
              <w:rPr>
                <w:rFonts w:ascii="Times New Roman" w:cs="Times New Roman" w:hAnsi="Times New Roman"/>
                <w:sz w:val="24"/>
                <w:szCs w:val="24"/>
              </w:rPr>
            </w:pPr>
            <w:r>
              <w:rPr>
                <w:rFonts w:ascii="Times New Roman" w:cs="Times New Roman" w:hAnsi="Times New Roman"/>
                <w:sz w:val="24"/>
                <w:szCs w:val="24"/>
              </w:rPr>
              <w:t>0,6</w:t>
            </w:r>
          </w:p>
        </w:tc>
        <w:tc>
          <w:tcPr>
            <w:cnfStyle w:val="000000100000"/>
            <w:tcW w:w="3255" w:type="dxa"/>
          </w:tcPr>
          <w:p w14:paraId="000004FB">
            <w:pPr>
              <w:jc w:val="both"/>
              <w:rPr>
                <w:rFonts w:ascii="Times New Roman" w:cs="Times New Roman" w:hAnsi="Times New Roman"/>
                <w:sz w:val="24"/>
                <w:szCs w:val="24"/>
              </w:rPr>
            </w:pPr>
            <w:r>
              <w:rPr>
                <w:rFonts w:ascii="Times New Roman" w:cs="Times New Roman" w:hAnsi="Times New Roman"/>
                <w:sz w:val="24"/>
                <w:szCs w:val="24"/>
              </w:rPr>
              <w:t>Регистрация ООО (ИФНС по Пензенской области), декларация ТР ТС, добровольная ISO 9001</w:t>
            </w:r>
          </w:p>
        </w:tc>
      </w:tr>
      <w:tr>
        <w:trPr/>
        <w:tc>
          <w:tcPr>
            <w:cnfStyle w:val="001000010000"/>
            <w:tcW w:w="4370" w:type="dxa"/>
          </w:tcPr>
          <w:p w14:paraId="000004FC">
            <w:pPr>
              <w:jc w:val="both"/>
              <w:rPr>
                <w:rFonts w:ascii="Times New Roman" w:cs="Times New Roman" w:hAnsi="Times New Roman"/>
                <w:sz w:val="24"/>
                <w:szCs w:val="24"/>
              </w:rPr>
            </w:pPr>
            <w:r>
              <w:rPr>
                <w:rFonts w:ascii="Times New Roman" w:cs="Times New Roman" w:hAnsi="Times New Roman"/>
                <w:sz w:val="24"/>
                <w:szCs w:val="24"/>
              </w:rPr>
              <w:t>Программное обеспечение (1С:Управление торговлей, 1С:Бухгалтерия, CRM-система)</w:t>
            </w:r>
          </w:p>
        </w:tc>
        <w:tc>
          <w:tcPr>
            <w:cnfStyle w:val="000000010000"/>
            <w:tcW w:w="967" w:type="dxa"/>
          </w:tcPr>
          <w:p w14:paraId="000004FD">
            <w:pPr>
              <w:jc w:val="center"/>
              <w:rPr>
                <w:rFonts w:ascii="Times New Roman" w:cs="Times New Roman" w:hAnsi="Times New Roman"/>
                <w:sz w:val="24"/>
                <w:szCs w:val="24"/>
              </w:rPr>
            </w:pPr>
            <w:r>
              <w:rPr>
                <w:rFonts w:ascii="Times New Roman" w:cs="Times New Roman" w:hAnsi="Times New Roman"/>
                <w:sz w:val="24"/>
                <w:szCs w:val="24"/>
              </w:rPr>
              <w:t>500</w:t>
            </w:r>
          </w:p>
        </w:tc>
        <w:tc>
          <w:tcPr>
            <w:cnfStyle w:val="000000010000"/>
            <w:tcW w:w="790" w:type="dxa"/>
          </w:tcPr>
          <w:p w14:paraId="000004FE">
            <w:pPr>
              <w:jc w:val="center"/>
              <w:rPr>
                <w:rFonts w:ascii="Times New Roman" w:cs="Times New Roman" w:hAnsi="Times New Roman"/>
                <w:sz w:val="24"/>
                <w:szCs w:val="24"/>
              </w:rPr>
            </w:pPr>
            <w:r>
              <w:rPr>
                <w:rFonts w:ascii="Times New Roman" w:cs="Times New Roman" w:hAnsi="Times New Roman"/>
                <w:sz w:val="24"/>
                <w:szCs w:val="24"/>
              </w:rPr>
              <w:t>0,6</w:t>
            </w:r>
          </w:p>
        </w:tc>
        <w:tc>
          <w:tcPr>
            <w:cnfStyle w:val="000000010000"/>
            <w:tcW w:w="3255" w:type="dxa"/>
          </w:tcPr>
          <w:p w14:paraId="000004FF">
            <w:pPr>
              <w:jc w:val="both"/>
              <w:rPr>
                <w:rFonts w:ascii="Times New Roman" w:cs="Times New Roman" w:hAnsi="Times New Roman"/>
                <w:sz w:val="24"/>
                <w:szCs w:val="24"/>
              </w:rPr>
            </w:pPr>
            <w:r>
              <w:rPr>
                <w:rFonts w:ascii="Times New Roman" w:cs="Times New Roman" w:hAnsi="Times New Roman"/>
                <w:sz w:val="24"/>
                <w:szCs w:val="24"/>
              </w:rPr>
              <w:t>Лицензии на 5 рабочих мест, внедрение, обучение</w:t>
            </w:r>
          </w:p>
        </w:tc>
      </w:tr>
      <w:tr>
        <w:trPr/>
        <w:tc>
          <w:tcPr>
            <w:cnfStyle w:val="001000100000"/>
            <w:tcW w:w="4370" w:type="dxa"/>
          </w:tcPr>
          <w:p w14:paraId="00000500">
            <w:pPr>
              <w:jc w:val="both"/>
              <w:rPr>
                <w:rFonts w:ascii="Times New Roman" w:cs="Times New Roman" w:hAnsi="Times New Roman"/>
                <w:sz w:val="24"/>
                <w:szCs w:val="24"/>
              </w:rPr>
            </w:pPr>
            <w:r>
              <w:rPr>
                <w:rFonts w:ascii="Times New Roman" w:cs="Times New Roman" w:hAnsi="Times New Roman"/>
                <w:sz w:val="24"/>
                <w:szCs w:val="24"/>
              </w:rPr>
              <w:t>Непредвиденные расходы (резерв 5%)</w:t>
            </w:r>
          </w:p>
        </w:tc>
        <w:tc>
          <w:tcPr>
            <w:cnfStyle w:val="000000100000"/>
            <w:tcW w:w="967" w:type="dxa"/>
          </w:tcPr>
          <w:p w14:paraId="00000501">
            <w:pPr>
              <w:jc w:val="center"/>
              <w:rPr>
                <w:rFonts w:ascii="Times New Roman" w:cs="Times New Roman" w:hAnsi="Times New Roman"/>
                <w:sz w:val="24"/>
                <w:szCs w:val="24"/>
              </w:rPr>
            </w:pPr>
            <w:r>
              <w:rPr>
                <w:rFonts w:ascii="Times New Roman" w:cs="Times New Roman" w:hAnsi="Times New Roman"/>
                <w:sz w:val="24"/>
                <w:szCs w:val="24"/>
              </w:rPr>
              <w:t>4 500</w:t>
            </w:r>
          </w:p>
        </w:tc>
        <w:tc>
          <w:tcPr>
            <w:cnfStyle w:val="000000100000"/>
            <w:tcW w:w="790" w:type="dxa"/>
          </w:tcPr>
          <w:p w14:paraId="00000502">
            <w:pPr>
              <w:jc w:val="center"/>
              <w:rPr>
                <w:rFonts w:ascii="Times New Roman" w:cs="Times New Roman" w:hAnsi="Times New Roman"/>
                <w:sz w:val="24"/>
                <w:szCs w:val="24"/>
              </w:rPr>
            </w:pPr>
            <w:r>
              <w:rPr>
                <w:rFonts w:ascii="Times New Roman" w:cs="Times New Roman" w:hAnsi="Times New Roman"/>
                <w:sz w:val="24"/>
                <w:szCs w:val="24"/>
              </w:rPr>
              <w:t>5,2</w:t>
            </w:r>
          </w:p>
        </w:tc>
        <w:tc>
          <w:tcPr>
            <w:cnfStyle w:val="000000100000"/>
            <w:tcW w:w="3255" w:type="dxa"/>
          </w:tcPr>
          <w:p w14:paraId="00000503">
            <w:pPr>
              <w:jc w:val="both"/>
              <w:rPr>
                <w:rFonts w:ascii="Times New Roman" w:cs="Times New Roman" w:hAnsi="Times New Roman"/>
                <w:sz w:val="24"/>
                <w:szCs w:val="24"/>
              </w:rPr>
            </w:pPr>
            <w:r>
              <w:rPr>
                <w:rFonts w:ascii="Times New Roman" w:cs="Times New Roman" w:hAnsi="Times New Roman"/>
                <w:sz w:val="24"/>
                <w:szCs w:val="24"/>
              </w:rPr>
              <w:t xml:space="preserve">На случай удорожания материалов, задержек </w:t>
            </w:r>
            <w:r>
              <w:rPr>
                <w:rFonts w:ascii="Times New Roman" w:cs="Times New Roman" w:hAnsi="Times New Roman"/>
                <w:sz w:val="24"/>
                <w:szCs w:val="24"/>
              </w:rPr>
              <w:t>поставок и прочих рисков</w:t>
            </w:r>
          </w:p>
        </w:tc>
      </w:tr>
      <w:tr>
        <w:trPr/>
        <w:tc>
          <w:tcPr>
            <w:cnfStyle w:val="001000010000"/>
            <w:tcW w:w="4370" w:type="dxa"/>
          </w:tcPr>
          <w:p w14:paraId="00000504">
            <w:pPr>
              <w:jc w:val="both"/>
              <w:rPr>
                <w:rFonts w:ascii="Times New Roman" w:cs="Times New Roman" w:hAnsi="Times New Roman"/>
                <w:sz w:val="24"/>
                <w:szCs w:val="24"/>
              </w:rPr>
            </w:pPr>
            <w:r>
              <w:rPr>
                <w:rFonts w:ascii="Times New Roman" w:cs="Times New Roman" w:hAnsi="Times New Roman"/>
                <w:sz w:val="24"/>
                <w:szCs w:val="24"/>
              </w:rPr>
              <w:t>Итого</w:t>
            </w:r>
          </w:p>
        </w:tc>
        <w:tc>
          <w:tcPr>
            <w:cnfStyle w:val="000000010000"/>
            <w:tcW w:w="967" w:type="dxa"/>
          </w:tcPr>
          <w:p w14:paraId="00000505">
            <w:pPr>
              <w:jc w:val="center"/>
              <w:rPr>
                <w:rFonts w:ascii="Times New Roman" w:cs="Times New Roman" w:hAnsi="Times New Roman"/>
                <w:sz w:val="24"/>
                <w:szCs w:val="24"/>
              </w:rPr>
            </w:pPr>
            <w:r>
              <w:rPr>
                <w:rFonts w:ascii="Times New Roman" w:cs="Times New Roman" w:hAnsi="Times New Roman"/>
                <w:sz w:val="24"/>
                <w:szCs w:val="24"/>
              </w:rPr>
              <w:t>87 000</w:t>
            </w:r>
          </w:p>
        </w:tc>
        <w:tc>
          <w:tcPr>
            <w:cnfStyle w:val="000000010000"/>
            <w:tcW w:w="790" w:type="dxa"/>
          </w:tcPr>
          <w:p w14:paraId="00000506">
            <w:pPr>
              <w:jc w:val="center"/>
              <w:rPr>
                <w:rFonts w:ascii="Times New Roman" w:cs="Times New Roman" w:hAnsi="Times New Roman"/>
                <w:sz w:val="24"/>
                <w:szCs w:val="24"/>
              </w:rPr>
            </w:pPr>
            <w:r>
              <w:rPr>
                <w:rFonts w:ascii="Times New Roman" w:cs="Times New Roman" w:hAnsi="Times New Roman"/>
                <w:sz w:val="24"/>
                <w:szCs w:val="24"/>
              </w:rPr>
              <w:t>100</w:t>
            </w:r>
          </w:p>
        </w:tc>
        <w:tc>
          <w:tcPr>
            <w:cnfStyle w:val="000000010000"/>
            <w:tcW w:w="3255" w:type="dxa"/>
          </w:tcPr>
          <w:p w14:paraId="00000507">
            <w:pPr>
              <w:jc w:val="center"/>
              <w:rPr>
                <w:rFonts w:ascii="Times New Roman" w:cs="Times New Roman" w:hAnsi="Times New Roman"/>
                <w:sz w:val="24"/>
                <w:szCs w:val="24"/>
              </w:rPr>
            </w:pPr>
          </w:p>
        </w:tc>
      </w:tr>
    </w:tbl>
    <w:p w14:paraId="00000508">
      <w:pPr>
        <w:spacing w:beforeAutospacing="0" w:after="0" w:afterAutospacing="0" w:line="360" w:lineRule="auto"/>
        <w:ind w:firstLine="709"/>
        <w:jc w:val="both"/>
        <w:rPr>
          <w:rFonts w:ascii="Times New Roman" w:cs="Times New Roman" w:hAnsi="Times New Roman"/>
          <w:sz w:val="28"/>
          <w:szCs w:val="28"/>
        </w:rPr>
      </w:pPr>
    </w:p>
    <w:p w14:paraId="0000050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Общая потребность в инвестициях составляет 87 млн рублей. Основная статья – оборудование (54%). По сравнению с первоначальным расчётом (85 млн руб.) сумма увеличилась на 2 млн руб. за счёт лабораторного оборудования (2 млн руб.) и резерва на непредвиденные расходы (4,5 млн руб., но он частично компенсирован экономией на аренде – 300 руб./кв. м в Пензе против 350–400 руб. в других регионах). Аренда цеха в Пензе (1000 кв. м) обойдётся в 350 тыс. руб. в месяц. </w:t>
      </w:r>
    </w:p>
    <w:p w14:paraId="0000050A">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 xml:space="preserve">Таблица 3.8 – </w:t>
      </w:r>
      <w:r>
        <w:rPr>
          <w:rFonts w:ascii="Times New Roman" w:cs="Times New Roman" w:hAnsi="Times New Roman"/>
          <w:bCs/>
          <w:sz w:val="28"/>
          <w:szCs w:val="28"/>
        </w:rPr>
        <w:t>Е</w:t>
      </w:r>
      <w:r>
        <w:rPr>
          <w:rFonts w:ascii="Times New Roman" w:cs="Times New Roman" w:hAnsi="Times New Roman"/>
          <w:bCs/>
          <w:sz w:val="28"/>
          <w:szCs w:val="28"/>
        </w:rPr>
        <w:t>жемесячные операционные затраты в 1-й год, тыс. руб.</w:t>
      </w:r>
    </w:p>
    <w:tbl>
      <w:tblPr>
        <w:tblStyle w:val="TableGrid"/>
        <w:tblW w:w="9387" w:type="dxa"/>
        <w:tblInd w:w="95" w:type="dxa"/>
        <w:tblLook w:val="04A0"/>
      </w:tblPr>
      <w:tblGrid>
        <w:gridCol w:w="2600"/>
        <w:gridCol w:w="967"/>
        <w:gridCol w:w="1019"/>
        <w:gridCol w:w="4801"/>
      </w:tblGrid>
      <w:tr>
        <w:trPr/>
        <w:tc>
          <w:tcPr>
            <w:cnfStyle w:val="101000000000"/>
            <w:tcW w:w="2600" w:type="dxa"/>
          </w:tcPr>
          <w:p w14:paraId="0000050B">
            <w:pPr>
              <w:jc w:val="center"/>
              <w:rPr>
                <w:rFonts w:ascii="Times New Roman" w:cs="Times New Roman" w:hAnsi="Times New Roman"/>
                <w:sz w:val="24"/>
                <w:szCs w:val="24"/>
              </w:rPr>
            </w:pPr>
            <w:r>
              <w:rPr>
                <w:rFonts w:ascii="Times New Roman" w:cs="Times New Roman" w:hAnsi="Times New Roman"/>
                <w:sz w:val="24"/>
                <w:szCs w:val="24"/>
              </w:rPr>
              <w:t>Статья</w:t>
            </w:r>
          </w:p>
        </w:tc>
        <w:tc>
          <w:tcPr>
            <w:cnfStyle w:val="100000000000"/>
            <w:tcW w:w="967" w:type="dxa"/>
          </w:tcPr>
          <w:p w14:paraId="0000050C">
            <w:pPr>
              <w:jc w:val="center"/>
              <w:rPr>
                <w:rFonts w:ascii="Times New Roman" w:cs="Times New Roman" w:hAnsi="Times New Roman"/>
                <w:sz w:val="24"/>
                <w:szCs w:val="24"/>
              </w:rPr>
            </w:pPr>
            <w:r>
              <w:rPr>
                <w:rFonts w:ascii="Times New Roman" w:cs="Times New Roman" w:hAnsi="Times New Roman"/>
                <w:sz w:val="24"/>
                <w:szCs w:val="24"/>
              </w:rPr>
              <w:t>Сумма, тыс. руб.</w:t>
            </w:r>
          </w:p>
        </w:tc>
        <w:tc>
          <w:tcPr>
            <w:cnfStyle w:val="100000000000"/>
            <w:tcW w:w="1019" w:type="dxa"/>
          </w:tcPr>
          <w:p w14:paraId="0000050D">
            <w:pPr>
              <w:jc w:val="center"/>
              <w:rPr>
                <w:rFonts w:ascii="Times New Roman" w:cs="Times New Roman" w:hAnsi="Times New Roman"/>
                <w:sz w:val="24"/>
                <w:szCs w:val="24"/>
              </w:rPr>
            </w:pPr>
            <w:r>
              <w:rPr>
                <w:rFonts w:ascii="Times New Roman" w:cs="Times New Roman" w:hAnsi="Times New Roman"/>
                <w:sz w:val="24"/>
                <w:szCs w:val="24"/>
              </w:rPr>
              <w:t>Доля, %</w:t>
            </w:r>
          </w:p>
        </w:tc>
        <w:tc>
          <w:tcPr>
            <w:cnfStyle w:val="100000000000"/>
            <w:tcW w:w="4801" w:type="dxa"/>
          </w:tcPr>
          <w:p w14:paraId="0000050E">
            <w:pPr>
              <w:jc w:val="center"/>
              <w:rPr>
                <w:rFonts w:ascii="Times New Roman" w:cs="Times New Roman" w:hAnsi="Times New Roman"/>
                <w:sz w:val="24"/>
                <w:szCs w:val="24"/>
              </w:rPr>
            </w:pPr>
            <w:r>
              <w:rPr>
                <w:rFonts w:ascii="Times New Roman" w:cs="Times New Roman" w:hAnsi="Times New Roman"/>
                <w:sz w:val="24"/>
                <w:szCs w:val="24"/>
              </w:rPr>
              <w:t>Расчёт и обоснование</w:t>
            </w:r>
          </w:p>
        </w:tc>
      </w:tr>
      <w:tr>
        <w:trPr/>
        <w:tc>
          <w:tcPr>
            <w:cnfStyle w:val="001000100000"/>
            <w:tcW w:w="2600" w:type="dxa"/>
          </w:tcPr>
          <w:p w14:paraId="0000050F">
            <w:pPr>
              <w:jc w:val="both"/>
              <w:rPr>
                <w:rFonts w:ascii="Times New Roman" w:cs="Times New Roman" w:hAnsi="Times New Roman"/>
                <w:sz w:val="24"/>
                <w:szCs w:val="24"/>
              </w:rPr>
            </w:pPr>
            <w:r>
              <w:rPr>
                <w:rFonts w:ascii="Times New Roman" w:cs="Times New Roman" w:hAnsi="Times New Roman"/>
                <w:sz w:val="24"/>
                <w:szCs w:val="24"/>
              </w:rPr>
              <w:t>Сырьё и материалы (цемент, отсевы, добавки, пигменты)</w:t>
            </w:r>
          </w:p>
        </w:tc>
        <w:tc>
          <w:tcPr>
            <w:cnfStyle w:val="000000100000"/>
            <w:tcW w:w="967" w:type="dxa"/>
          </w:tcPr>
          <w:p w14:paraId="00000510">
            <w:pPr>
              <w:jc w:val="center"/>
              <w:rPr>
                <w:rFonts w:ascii="Times New Roman" w:cs="Times New Roman" w:hAnsi="Times New Roman"/>
                <w:sz w:val="24"/>
                <w:szCs w:val="24"/>
              </w:rPr>
            </w:pPr>
            <w:r>
              <w:rPr>
                <w:rFonts w:ascii="Times New Roman" w:cs="Times New Roman" w:hAnsi="Times New Roman"/>
                <w:sz w:val="24"/>
                <w:szCs w:val="24"/>
              </w:rPr>
              <w:t>2 900</w:t>
            </w:r>
          </w:p>
        </w:tc>
        <w:tc>
          <w:tcPr>
            <w:cnfStyle w:val="000000100000"/>
            <w:tcW w:w="1019" w:type="dxa"/>
          </w:tcPr>
          <w:p w14:paraId="00000511">
            <w:pPr>
              <w:jc w:val="center"/>
              <w:rPr>
                <w:rFonts w:ascii="Times New Roman" w:cs="Times New Roman" w:hAnsi="Times New Roman"/>
                <w:sz w:val="24"/>
                <w:szCs w:val="24"/>
              </w:rPr>
            </w:pPr>
            <w:r>
              <w:rPr>
                <w:rFonts w:ascii="Times New Roman" w:cs="Times New Roman" w:hAnsi="Times New Roman"/>
                <w:sz w:val="24"/>
                <w:szCs w:val="24"/>
              </w:rPr>
              <w:t>54,7</w:t>
            </w:r>
          </w:p>
        </w:tc>
        <w:tc>
          <w:tcPr>
            <w:cnfStyle w:val="000000100000"/>
            <w:tcW w:w="4801" w:type="dxa"/>
          </w:tcPr>
          <w:p w14:paraId="00000512">
            <w:pPr>
              <w:jc w:val="both"/>
              <w:rPr>
                <w:rFonts w:ascii="Times New Roman" w:cs="Times New Roman" w:hAnsi="Times New Roman"/>
                <w:sz w:val="24"/>
                <w:szCs w:val="24"/>
              </w:rPr>
            </w:pPr>
            <w:r>
              <w:rPr>
                <w:rFonts w:ascii="Times New Roman" w:cs="Times New Roman" w:hAnsi="Times New Roman"/>
                <w:sz w:val="24"/>
                <w:szCs w:val="24"/>
              </w:rPr>
              <w:t>Расход на 500 тыс. шт. кирпича в месяц: цемент – 1 200 руб./т, отсевы – 400 руб./т, добавки – 50 руб./т, пигменты – 100 руб./т</w:t>
            </w:r>
          </w:p>
        </w:tc>
      </w:tr>
      <w:tr>
        <w:trPr/>
        <w:tc>
          <w:tcPr>
            <w:cnfStyle w:val="001000010000"/>
            <w:tcW w:w="2600" w:type="dxa"/>
          </w:tcPr>
          <w:p w14:paraId="00000513">
            <w:pPr>
              <w:jc w:val="both"/>
              <w:rPr>
                <w:rFonts w:ascii="Times New Roman" w:cs="Times New Roman" w:hAnsi="Times New Roman"/>
                <w:sz w:val="24"/>
                <w:szCs w:val="24"/>
              </w:rPr>
            </w:pPr>
            <w:r>
              <w:rPr>
                <w:rFonts w:ascii="Times New Roman" w:cs="Times New Roman" w:hAnsi="Times New Roman"/>
                <w:sz w:val="24"/>
                <w:szCs w:val="24"/>
              </w:rPr>
              <w:t>ФОТ с отчислениями (30% от 760 тыс.)</w:t>
            </w:r>
          </w:p>
        </w:tc>
        <w:tc>
          <w:tcPr>
            <w:cnfStyle w:val="000000010000"/>
            <w:tcW w:w="967" w:type="dxa"/>
          </w:tcPr>
          <w:p w14:paraId="00000514">
            <w:pPr>
              <w:jc w:val="center"/>
              <w:rPr>
                <w:rFonts w:ascii="Times New Roman" w:cs="Times New Roman" w:hAnsi="Times New Roman"/>
                <w:sz w:val="24"/>
                <w:szCs w:val="24"/>
              </w:rPr>
            </w:pPr>
            <w:r>
              <w:rPr>
                <w:rFonts w:ascii="Times New Roman" w:cs="Times New Roman" w:hAnsi="Times New Roman"/>
                <w:sz w:val="24"/>
                <w:szCs w:val="24"/>
              </w:rPr>
              <w:t>988</w:t>
            </w:r>
          </w:p>
        </w:tc>
        <w:tc>
          <w:tcPr>
            <w:cnfStyle w:val="000000010000"/>
            <w:tcW w:w="1019" w:type="dxa"/>
          </w:tcPr>
          <w:p w14:paraId="00000515">
            <w:pPr>
              <w:jc w:val="center"/>
              <w:rPr>
                <w:rFonts w:ascii="Times New Roman" w:cs="Times New Roman" w:hAnsi="Times New Roman"/>
                <w:sz w:val="24"/>
                <w:szCs w:val="24"/>
              </w:rPr>
            </w:pPr>
            <w:r>
              <w:rPr>
                <w:rFonts w:ascii="Times New Roman" w:cs="Times New Roman" w:hAnsi="Times New Roman"/>
                <w:sz w:val="24"/>
                <w:szCs w:val="24"/>
              </w:rPr>
              <w:t>18,6</w:t>
            </w:r>
          </w:p>
        </w:tc>
        <w:tc>
          <w:tcPr>
            <w:cnfStyle w:val="000000010000"/>
            <w:tcW w:w="4801" w:type="dxa"/>
          </w:tcPr>
          <w:p w14:paraId="00000516">
            <w:pPr>
              <w:jc w:val="both"/>
              <w:rPr>
                <w:rFonts w:ascii="Times New Roman" w:cs="Times New Roman" w:hAnsi="Times New Roman"/>
                <w:sz w:val="24"/>
                <w:szCs w:val="24"/>
              </w:rPr>
            </w:pPr>
            <w:r>
              <w:rPr>
                <w:rFonts w:ascii="Times New Roman" w:cs="Times New Roman" w:hAnsi="Times New Roman"/>
                <w:sz w:val="24"/>
                <w:szCs w:val="24"/>
              </w:rPr>
              <w:t>17 человек, средняя зарплата в Пензенской области – 45 тыс. руб. на производственного рабочего, 60–90 тыс. – на руководителей</w:t>
            </w:r>
          </w:p>
        </w:tc>
      </w:tr>
      <w:tr>
        <w:trPr/>
        <w:tc>
          <w:tcPr>
            <w:cnfStyle w:val="001000100000"/>
            <w:tcW w:w="2600" w:type="dxa"/>
          </w:tcPr>
          <w:p w14:paraId="00000517">
            <w:pPr>
              <w:jc w:val="both"/>
              <w:rPr>
                <w:rFonts w:ascii="Times New Roman" w:cs="Times New Roman" w:hAnsi="Times New Roman"/>
                <w:sz w:val="24"/>
                <w:szCs w:val="24"/>
              </w:rPr>
            </w:pPr>
            <w:r>
              <w:rPr>
                <w:rFonts w:ascii="Times New Roman" w:cs="Times New Roman" w:hAnsi="Times New Roman"/>
                <w:sz w:val="24"/>
                <w:szCs w:val="24"/>
              </w:rPr>
              <w:t>Аренда цеха и земли (1000 кв. м × 350 руб.)</w:t>
            </w:r>
          </w:p>
        </w:tc>
        <w:tc>
          <w:tcPr>
            <w:cnfStyle w:val="000000100000"/>
            <w:tcW w:w="967" w:type="dxa"/>
          </w:tcPr>
          <w:p w14:paraId="00000518">
            <w:pPr>
              <w:jc w:val="center"/>
              <w:rPr>
                <w:rFonts w:ascii="Times New Roman" w:cs="Times New Roman" w:hAnsi="Times New Roman"/>
                <w:sz w:val="24"/>
                <w:szCs w:val="24"/>
              </w:rPr>
            </w:pPr>
            <w:r>
              <w:rPr>
                <w:rFonts w:ascii="Times New Roman" w:cs="Times New Roman" w:hAnsi="Times New Roman"/>
                <w:sz w:val="24"/>
                <w:szCs w:val="24"/>
              </w:rPr>
              <w:t>350</w:t>
            </w:r>
          </w:p>
        </w:tc>
        <w:tc>
          <w:tcPr>
            <w:cnfStyle w:val="000000100000"/>
            <w:tcW w:w="1019" w:type="dxa"/>
          </w:tcPr>
          <w:p w14:paraId="00000519">
            <w:pPr>
              <w:jc w:val="center"/>
              <w:rPr>
                <w:rFonts w:ascii="Times New Roman" w:cs="Times New Roman" w:hAnsi="Times New Roman"/>
                <w:sz w:val="24"/>
                <w:szCs w:val="24"/>
              </w:rPr>
            </w:pPr>
            <w:r>
              <w:rPr>
                <w:rFonts w:ascii="Times New Roman" w:cs="Times New Roman" w:hAnsi="Times New Roman"/>
                <w:sz w:val="24"/>
                <w:szCs w:val="24"/>
              </w:rPr>
              <w:t>6,6</w:t>
            </w:r>
          </w:p>
        </w:tc>
        <w:tc>
          <w:tcPr>
            <w:cnfStyle w:val="000000100000"/>
            <w:tcW w:w="4801" w:type="dxa"/>
          </w:tcPr>
          <w:p w14:paraId="0000051A">
            <w:pPr>
              <w:jc w:val="both"/>
              <w:rPr>
                <w:rFonts w:ascii="Times New Roman" w:cs="Times New Roman" w:hAnsi="Times New Roman"/>
                <w:sz w:val="24"/>
                <w:szCs w:val="24"/>
              </w:rPr>
            </w:pPr>
            <w:r>
              <w:rPr>
                <w:rFonts w:ascii="Times New Roman" w:cs="Times New Roman" w:hAnsi="Times New Roman"/>
                <w:sz w:val="24"/>
                <w:szCs w:val="24"/>
              </w:rPr>
              <w:t>Промышленная зона г. Пензы (например, район Терновка, Арбеково или Заречный)</w:t>
            </w:r>
          </w:p>
        </w:tc>
      </w:tr>
      <w:tr>
        <w:trPr/>
        <w:tc>
          <w:tcPr>
            <w:cnfStyle w:val="001000010000"/>
            <w:tcW w:w="2600" w:type="dxa"/>
          </w:tcPr>
          <w:p w14:paraId="0000051B">
            <w:pPr>
              <w:jc w:val="both"/>
              <w:rPr>
                <w:rFonts w:ascii="Times New Roman" w:cs="Times New Roman" w:hAnsi="Times New Roman"/>
                <w:sz w:val="24"/>
                <w:szCs w:val="24"/>
              </w:rPr>
            </w:pPr>
            <w:r>
              <w:rPr>
                <w:rFonts w:ascii="Times New Roman" w:cs="Times New Roman" w:hAnsi="Times New Roman"/>
                <w:sz w:val="24"/>
                <w:szCs w:val="24"/>
              </w:rPr>
              <w:t>Электроэнергия (145 кВт × 16 ч × 25 дн. × 5,0 руб./кВт·ч)</w:t>
            </w:r>
          </w:p>
        </w:tc>
        <w:tc>
          <w:tcPr>
            <w:cnfStyle w:val="000000010000"/>
            <w:tcW w:w="967" w:type="dxa"/>
          </w:tcPr>
          <w:p w14:paraId="0000051C">
            <w:pPr>
              <w:jc w:val="center"/>
              <w:rPr>
                <w:rFonts w:ascii="Times New Roman" w:cs="Times New Roman" w:hAnsi="Times New Roman"/>
                <w:sz w:val="24"/>
                <w:szCs w:val="24"/>
              </w:rPr>
            </w:pPr>
            <w:r>
              <w:rPr>
                <w:rFonts w:ascii="Times New Roman" w:cs="Times New Roman" w:hAnsi="Times New Roman"/>
                <w:sz w:val="24"/>
                <w:szCs w:val="24"/>
              </w:rPr>
              <w:t>290</w:t>
            </w:r>
          </w:p>
        </w:tc>
        <w:tc>
          <w:tcPr>
            <w:cnfStyle w:val="000000010000"/>
            <w:tcW w:w="1019" w:type="dxa"/>
          </w:tcPr>
          <w:p w14:paraId="0000051D">
            <w:pPr>
              <w:jc w:val="center"/>
              <w:rPr>
                <w:rFonts w:ascii="Times New Roman" w:cs="Times New Roman" w:hAnsi="Times New Roman"/>
                <w:sz w:val="24"/>
                <w:szCs w:val="24"/>
              </w:rPr>
            </w:pPr>
            <w:r>
              <w:rPr>
                <w:rFonts w:ascii="Times New Roman" w:cs="Times New Roman" w:hAnsi="Times New Roman"/>
                <w:sz w:val="24"/>
                <w:szCs w:val="24"/>
              </w:rPr>
              <w:t>5,5</w:t>
            </w:r>
          </w:p>
        </w:tc>
        <w:tc>
          <w:tcPr>
            <w:cnfStyle w:val="000000010000"/>
            <w:tcW w:w="4801" w:type="dxa"/>
          </w:tcPr>
          <w:p w14:paraId="0000051E">
            <w:pPr>
              <w:jc w:val="both"/>
              <w:rPr>
                <w:rFonts w:ascii="Times New Roman" w:cs="Times New Roman" w:hAnsi="Times New Roman"/>
                <w:sz w:val="24"/>
                <w:szCs w:val="24"/>
              </w:rPr>
            </w:pPr>
            <w:r>
              <w:rPr>
                <w:rFonts w:ascii="Times New Roman" w:cs="Times New Roman" w:hAnsi="Times New Roman"/>
                <w:sz w:val="24"/>
                <w:szCs w:val="24"/>
              </w:rPr>
              <w:t>С учётом установки частотных преобразователей (экономия 15%)</w:t>
            </w:r>
          </w:p>
        </w:tc>
      </w:tr>
      <w:tr>
        <w:trPr/>
        <w:tc>
          <w:tcPr>
            <w:cnfStyle w:val="001000100000"/>
            <w:tcW w:w="2600" w:type="dxa"/>
          </w:tcPr>
          <w:p w14:paraId="0000051F">
            <w:pPr>
              <w:jc w:val="both"/>
              <w:rPr>
                <w:rFonts w:ascii="Times New Roman" w:cs="Times New Roman" w:hAnsi="Times New Roman"/>
                <w:sz w:val="24"/>
                <w:szCs w:val="24"/>
              </w:rPr>
            </w:pPr>
            <w:r>
              <w:rPr>
                <w:rFonts w:ascii="Times New Roman" w:cs="Times New Roman" w:hAnsi="Times New Roman"/>
                <w:sz w:val="24"/>
                <w:szCs w:val="24"/>
              </w:rPr>
              <w:t>Топливо для транспорта (2 машины, 4000 км, 25 л/100 км, 50 руб./л)</w:t>
            </w:r>
          </w:p>
        </w:tc>
        <w:tc>
          <w:tcPr>
            <w:cnfStyle w:val="000000100000"/>
            <w:tcW w:w="967" w:type="dxa"/>
          </w:tcPr>
          <w:p w14:paraId="00000520">
            <w:pPr>
              <w:jc w:val="center"/>
              <w:rPr>
                <w:rFonts w:ascii="Times New Roman" w:cs="Times New Roman" w:hAnsi="Times New Roman"/>
                <w:sz w:val="24"/>
                <w:szCs w:val="24"/>
              </w:rPr>
            </w:pPr>
            <w:r>
              <w:rPr>
                <w:rFonts w:ascii="Times New Roman" w:cs="Times New Roman" w:hAnsi="Times New Roman"/>
                <w:sz w:val="24"/>
                <w:szCs w:val="24"/>
              </w:rPr>
              <w:t>200</w:t>
            </w:r>
          </w:p>
        </w:tc>
        <w:tc>
          <w:tcPr>
            <w:cnfStyle w:val="000000100000"/>
            <w:tcW w:w="1019" w:type="dxa"/>
          </w:tcPr>
          <w:p w14:paraId="00000521">
            <w:pPr>
              <w:jc w:val="center"/>
              <w:rPr>
                <w:rFonts w:ascii="Times New Roman" w:cs="Times New Roman" w:hAnsi="Times New Roman"/>
                <w:sz w:val="24"/>
                <w:szCs w:val="24"/>
              </w:rPr>
            </w:pPr>
            <w:r>
              <w:rPr>
                <w:rFonts w:ascii="Times New Roman" w:cs="Times New Roman" w:hAnsi="Times New Roman"/>
                <w:sz w:val="24"/>
                <w:szCs w:val="24"/>
              </w:rPr>
              <w:t>3,8</w:t>
            </w:r>
          </w:p>
        </w:tc>
        <w:tc>
          <w:tcPr>
            <w:cnfStyle w:val="000000100000"/>
            <w:tcW w:w="4801" w:type="dxa"/>
          </w:tcPr>
          <w:p w14:paraId="00000522">
            <w:pPr>
              <w:jc w:val="both"/>
              <w:rPr>
                <w:rFonts w:ascii="Times New Roman" w:cs="Times New Roman" w:hAnsi="Times New Roman"/>
                <w:sz w:val="24"/>
                <w:szCs w:val="24"/>
              </w:rPr>
            </w:pPr>
            <w:r>
              <w:rPr>
                <w:rFonts w:ascii="Times New Roman" w:cs="Times New Roman" w:hAnsi="Times New Roman"/>
                <w:sz w:val="24"/>
                <w:szCs w:val="24"/>
              </w:rPr>
              <w:t>Пензенская область – доставка до заказчиков в радиусе 300 км</w:t>
            </w:r>
          </w:p>
        </w:tc>
      </w:tr>
      <w:tr>
        <w:trPr/>
        <w:tc>
          <w:tcPr>
            <w:cnfStyle w:val="001000010000"/>
            <w:tcW w:w="2600" w:type="dxa"/>
          </w:tcPr>
          <w:p w14:paraId="00000523">
            <w:pPr>
              <w:jc w:val="both"/>
              <w:rPr>
                <w:rFonts w:ascii="Times New Roman" w:cs="Times New Roman" w:hAnsi="Times New Roman"/>
                <w:sz w:val="24"/>
                <w:szCs w:val="24"/>
              </w:rPr>
            </w:pPr>
            <w:r>
              <w:rPr>
                <w:rFonts w:ascii="Times New Roman" w:cs="Times New Roman" w:hAnsi="Times New Roman"/>
                <w:sz w:val="24"/>
                <w:szCs w:val="24"/>
              </w:rPr>
              <w:t>Амортизация оборудования (линейный метод, срок 10–15 лет)</w:t>
            </w:r>
          </w:p>
        </w:tc>
        <w:tc>
          <w:tcPr>
            <w:cnfStyle w:val="000000010000"/>
            <w:tcW w:w="967" w:type="dxa"/>
          </w:tcPr>
          <w:p w14:paraId="00000524">
            <w:pPr>
              <w:jc w:val="center"/>
              <w:rPr>
                <w:rFonts w:ascii="Times New Roman" w:cs="Times New Roman" w:hAnsi="Times New Roman"/>
                <w:sz w:val="24"/>
                <w:szCs w:val="24"/>
              </w:rPr>
            </w:pPr>
            <w:r>
              <w:rPr>
                <w:rFonts w:ascii="Times New Roman" w:cs="Times New Roman" w:hAnsi="Times New Roman"/>
                <w:sz w:val="24"/>
                <w:szCs w:val="24"/>
              </w:rPr>
              <w:t>250</w:t>
            </w:r>
          </w:p>
        </w:tc>
        <w:tc>
          <w:tcPr>
            <w:cnfStyle w:val="000000010000"/>
            <w:tcW w:w="1019" w:type="dxa"/>
          </w:tcPr>
          <w:p w14:paraId="00000525">
            <w:pPr>
              <w:jc w:val="center"/>
              <w:rPr>
                <w:rFonts w:ascii="Times New Roman" w:cs="Times New Roman" w:hAnsi="Times New Roman"/>
                <w:sz w:val="24"/>
                <w:szCs w:val="24"/>
              </w:rPr>
            </w:pPr>
            <w:r>
              <w:rPr>
                <w:rFonts w:ascii="Times New Roman" w:cs="Times New Roman" w:hAnsi="Times New Roman"/>
                <w:sz w:val="24"/>
                <w:szCs w:val="24"/>
              </w:rPr>
              <w:t>4,7</w:t>
            </w:r>
          </w:p>
        </w:tc>
        <w:tc>
          <w:tcPr>
            <w:cnfStyle w:val="000000010000"/>
            <w:tcW w:w="4801" w:type="dxa"/>
          </w:tcPr>
          <w:p w14:paraId="00000526">
            <w:pPr>
              <w:jc w:val="both"/>
              <w:rPr>
                <w:rFonts w:ascii="Times New Roman" w:cs="Times New Roman" w:hAnsi="Times New Roman"/>
                <w:sz w:val="24"/>
                <w:szCs w:val="24"/>
              </w:rPr>
            </w:pPr>
            <w:r>
              <w:rPr>
                <w:rFonts w:ascii="Times New Roman" w:cs="Times New Roman" w:hAnsi="Times New Roman"/>
                <w:sz w:val="24"/>
                <w:szCs w:val="24"/>
              </w:rPr>
              <w:t>47 млн руб. / 15 лет / 12 месяцев = 261 тыс. руб., округлено до 250</w:t>
            </w:r>
          </w:p>
        </w:tc>
      </w:tr>
      <w:tr>
        <w:trPr/>
        <w:tc>
          <w:tcPr>
            <w:cnfStyle w:val="001000100000"/>
            <w:tcW w:w="2600" w:type="dxa"/>
          </w:tcPr>
          <w:p w14:paraId="00000527">
            <w:pPr>
              <w:jc w:val="both"/>
              <w:rPr>
                <w:rFonts w:ascii="Times New Roman" w:cs="Times New Roman" w:hAnsi="Times New Roman"/>
                <w:sz w:val="24"/>
                <w:szCs w:val="24"/>
              </w:rPr>
            </w:pPr>
            <w:r>
              <w:rPr>
                <w:rFonts w:ascii="Times New Roman" w:cs="Times New Roman" w:hAnsi="Times New Roman"/>
                <w:sz w:val="24"/>
                <w:szCs w:val="24"/>
              </w:rPr>
              <w:t>Маркетинг и реклама (сайт, контекстная реклама, образцы, выставки)</w:t>
            </w:r>
          </w:p>
        </w:tc>
        <w:tc>
          <w:tcPr>
            <w:cnfStyle w:val="000000100000"/>
            <w:tcW w:w="967" w:type="dxa"/>
          </w:tcPr>
          <w:p w14:paraId="00000528">
            <w:pPr>
              <w:jc w:val="center"/>
              <w:rPr>
                <w:rFonts w:ascii="Times New Roman" w:cs="Times New Roman" w:hAnsi="Times New Roman"/>
                <w:sz w:val="24"/>
                <w:szCs w:val="24"/>
              </w:rPr>
            </w:pPr>
            <w:r>
              <w:rPr>
                <w:rFonts w:ascii="Times New Roman" w:cs="Times New Roman" w:hAnsi="Times New Roman"/>
                <w:sz w:val="24"/>
                <w:szCs w:val="24"/>
              </w:rPr>
              <w:t>130</w:t>
            </w:r>
          </w:p>
        </w:tc>
        <w:tc>
          <w:tcPr>
            <w:cnfStyle w:val="000000100000"/>
            <w:tcW w:w="1019" w:type="dxa"/>
          </w:tcPr>
          <w:p w14:paraId="00000529">
            <w:pPr>
              <w:jc w:val="center"/>
              <w:rPr>
                <w:rFonts w:ascii="Times New Roman" w:cs="Times New Roman" w:hAnsi="Times New Roman"/>
                <w:sz w:val="24"/>
                <w:szCs w:val="24"/>
              </w:rPr>
            </w:pPr>
            <w:r>
              <w:rPr>
                <w:rFonts w:ascii="Times New Roman" w:cs="Times New Roman" w:hAnsi="Times New Roman"/>
                <w:sz w:val="24"/>
                <w:szCs w:val="24"/>
              </w:rPr>
              <w:t>2,5</w:t>
            </w:r>
          </w:p>
        </w:tc>
        <w:tc>
          <w:tcPr>
            <w:cnfStyle w:val="000000100000"/>
            <w:tcW w:w="4801" w:type="dxa"/>
          </w:tcPr>
          <w:p w14:paraId="0000052A">
            <w:pPr>
              <w:jc w:val="both"/>
              <w:rPr>
                <w:rFonts w:ascii="Times New Roman" w:cs="Times New Roman" w:hAnsi="Times New Roman"/>
                <w:sz w:val="24"/>
                <w:szCs w:val="24"/>
              </w:rPr>
            </w:pPr>
            <w:r>
              <w:rPr>
                <w:rFonts w:ascii="Times New Roman" w:cs="Times New Roman" w:hAnsi="Times New Roman"/>
                <w:sz w:val="24"/>
                <w:szCs w:val="24"/>
              </w:rPr>
              <w:t>Контекстная реклама Яндекс.Директ (геотаргетинг на Пензу и область) – 50 тыс. руб./мес., выставки – 20 тыс. руб./мес., образцы – 30 тыс. руб./мес., сайт – 30 тыс. руб./мес.</w:t>
            </w:r>
          </w:p>
        </w:tc>
      </w:tr>
      <w:tr>
        <w:trPr/>
        <w:tc>
          <w:tcPr>
            <w:cnfStyle w:val="001000010000"/>
            <w:tcW w:w="2600" w:type="dxa"/>
          </w:tcPr>
          <w:p w14:paraId="0000052B">
            <w:pPr>
              <w:jc w:val="both"/>
              <w:rPr>
                <w:rFonts w:ascii="Times New Roman" w:cs="Times New Roman" w:hAnsi="Times New Roman"/>
                <w:sz w:val="24"/>
                <w:szCs w:val="24"/>
              </w:rPr>
            </w:pPr>
            <w:r>
              <w:rPr>
                <w:rFonts w:ascii="Times New Roman" w:cs="Times New Roman" w:hAnsi="Times New Roman"/>
                <w:sz w:val="24"/>
                <w:szCs w:val="24"/>
              </w:rPr>
              <w:t xml:space="preserve">Коммунальные услуги (отопление, вода, </w:t>
            </w:r>
            <w:r>
              <w:rPr>
                <w:rFonts w:ascii="Times New Roman" w:cs="Times New Roman" w:hAnsi="Times New Roman"/>
                <w:sz w:val="24"/>
                <w:szCs w:val="24"/>
              </w:rPr>
              <w:t>вывоз мусора)</w:t>
            </w:r>
          </w:p>
        </w:tc>
        <w:tc>
          <w:tcPr>
            <w:cnfStyle w:val="000000010000"/>
            <w:tcW w:w="967" w:type="dxa"/>
          </w:tcPr>
          <w:p w14:paraId="0000052C">
            <w:pPr>
              <w:jc w:val="center"/>
              <w:rPr>
                <w:rFonts w:ascii="Times New Roman" w:cs="Times New Roman" w:hAnsi="Times New Roman"/>
                <w:sz w:val="24"/>
                <w:szCs w:val="24"/>
              </w:rPr>
            </w:pPr>
            <w:r>
              <w:rPr>
                <w:rFonts w:ascii="Times New Roman" w:cs="Times New Roman" w:hAnsi="Times New Roman"/>
                <w:sz w:val="24"/>
                <w:szCs w:val="24"/>
              </w:rPr>
              <w:t>80</w:t>
            </w:r>
          </w:p>
        </w:tc>
        <w:tc>
          <w:tcPr>
            <w:cnfStyle w:val="000000010000"/>
            <w:tcW w:w="1019" w:type="dxa"/>
          </w:tcPr>
          <w:p w14:paraId="0000052D">
            <w:pPr>
              <w:jc w:val="center"/>
              <w:rPr>
                <w:rFonts w:ascii="Times New Roman" w:cs="Times New Roman" w:hAnsi="Times New Roman"/>
                <w:sz w:val="24"/>
                <w:szCs w:val="24"/>
              </w:rPr>
            </w:pPr>
            <w:r>
              <w:rPr>
                <w:rFonts w:ascii="Times New Roman" w:cs="Times New Roman" w:hAnsi="Times New Roman"/>
                <w:sz w:val="24"/>
                <w:szCs w:val="24"/>
              </w:rPr>
              <w:t>1,5</w:t>
            </w:r>
          </w:p>
        </w:tc>
        <w:tc>
          <w:tcPr>
            <w:cnfStyle w:val="000000010000"/>
            <w:tcW w:w="4801" w:type="dxa"/>
          </w:tcPr>
          <w:p w14:paraId="0000052E">
            <w:pPr>
              <w:jc w:val="both"/>
              <w:rPr>
                <w:rFonts w:ascii="Times New Roman" w:cs="Times New Roman" w:hAnsi="Times New Roman"/>
                <w:sz w:val="24"/>
                <w:szCs w:val="24"/>
              </w:rPr>
            </w:pPr>
            <w:r>
              <w:rPr>
                <w:rFonts w:ascii="Times New Roman" w:cs="Times New Roman" w:hAnsi="Times New Roman"/>
                <w:sz w:val="24"/>
                <w:szCs w:val="24"/>
              </w:rPr>
              <w:t>В зимние месяцы выше (отопление склада выдержки), в летние – ниже</w:t>
            </w:r>
          </w:p>
        </w:tc>
      </w:tr>
      <w:tr>
        <w:trPr/>
        <w:tc>
          <w:tcPr>
            <w:cnfStyle w:val="001000100000"/>
            <w:tcW w:w="2600" w:type="dxa"/>
          </w:tcPr>
          <w:p w14:paraId="0000052F">
            <w:pPr>
              <w:jc w:val="both"/>
              <w:rPr>
                <w:rFonts w:ascii="Times New Roman" w:cs="Times New Roman" w:hAnsi="Times New Roman"/>
                <w:sz w:val="24"/>
                <w:szCs w:val="24"/>
              </w:rPr>
            </w:pPr>
            <w:r>
              <w:rPr>
                <w:rFonts w:ascii="Times New Roman" w:cs="Times New Roman" w:hAnsi="Times New Roman"/>
                <w:sz w:val="24"/>
                <w:szCs w:val="24"/>
              </w:rPr>
              <w:t>Прочие расходы (связь, канцелярия, охрана, вывоз мусора, обслуживание оборудования)</w:t>
            </w:r>
          </w:p>
        </w:tc>
        <w:tc>
          <w:tcPr>
            <w:cnfStyle w:val="000000100000"/>
            <w:tcW w:w="967" w:type="dxa"/>
          </w:tcPr>
          <w:p w14:paraId="00000530">
            <w:pPr>
              <w:jc w:val="center"/>
              <w:rPr>
                <w:rFonts w:ascii="Times New Roman" w:cs="Times New Roman" w:hAnsi="Times New Roman"/>
                <w:sz w:val="24"/>
                <w:szCs w:val="24"/>
              </w:rPr>
            </w:pPr>
            <w:r>
              <w:rPr>
                <w:rFonts w:ascii="Times New Roman" w:cs="Times New Roman" w:hAnsi="Times New Roman"/>
                <w:sz w:val="24"/>
                <w:szCs w:val="24"/>
              </w:rPr>
              <w:t>120</w:t>
            </w:r>
          </w:p>
        </w:tc>
        <w:tc>
          <w:tcPr>
            <w:cnfStyle w:val="000000100000"/>
            <w:tcW w:w="1019" w:type="dxa"/>
          </w:tcPr>
          <w:p w14:paraId="00000531">
            <w:pPr>
              <w:jc w:val="center"/>
              <w:rPr>
                <w:rFonts w:ascii="Times New Roman" w:cs="Times New Roman" w:hAnsi="Times New Roman"/>
                <w:sz w:val="24"/>
                <w:szCs w:val="24"/>
              </w:rPr>
            </w:pPr>
            <w:r>
              <w:rPr>
                <w:rFonts w:ascii="Times New Roman" w:cs="Times New Roman" w:hAnsi="Times New Roman"/>
                <w:sz w:val="24"/>
                <w:szCs w:val="24"/>
              </w:rPr>
              <w:t>2,3</w:t>
            </w:r>
          </w:p>
        </w:tc>
        <w:tc>
          <w:tcPr>
            <w:cnfStyle w:val="000000100000"/>
            <w:tcW w:w="4801" w:type="dxa"/>
          </w:tcPr>
          <w:p w14:paraId="00000532">
            <w:pPr>
              <w:jc w:val="both"/>
              <w:rPr>
                <w:rFonts w:ascii="Times New Roman" w:cs="Times New Roman" w:hAnsi="Times New Roman"/>
                <w:sz w:val="24"/>
                <w:szCs w:val="24"/>
              </w:rPr>
            </w:pPr>
            <w:r>
              <w:rPr>
                <w:rFonts w:ascii="Times New Roman" w:cs="Times New Roman" w:hAnsi="Times New Roman"/>
                <w:sz w:val="24"/>
                <w:szCs w:val="24"/>
              </w:rPr>
              <w:t>Охрана – 30 тыс. руб./мес., связь и интернет – 15 тыс. руб./мес., канцелярия – 5 тыс. руб./мес., обслуживание – 50 тыс. руб./мес., прочее – 20 тыс. руб./мес.</w:t>
            </w:r>
          </w:p>
        </w:tc>
      </w:tr>
      <w:tr>
        <w:trPr/>
        <w:tc>
          <w:tcPr>
            <w:cnfStyle w:val="001000010000"/>
            <w:tcW w:w="2600" w:type="dxa"/>
          </w:tcPr>
          <w:p w14:paraId="00000533">
            <w:pPr>
              <w:jc w:val="both"/>
              <w:rPr>
                <w:rFonts w:ascii="Times New Roman" w:cs="Times New Roman" w:hAnsi="Times New Roman"/>
                <w:sz w:val="24"/>
                <w:szCs w:val="24"/>
              </w:rPr>
            </w:pPr>
            <w:r>
              <w:rPr>
                <w:rFonts w:ascii="Times New Roman" w:cs="Times New Roman" w:hAnsi="Times New Roman"/>
                <w:bCs/>
                <w:sz w:val="24"/>
                <w:szCs w:val="24"/>
              </w:rPr>
              <w:t>Итого</w:t>
            </w:r>
          </w:p>
        </w:tc>
        <w:tc>
          <w:tcPr>
            <w:cnfStyle w:val="000000010000"/>
            <w:tcW w:w="967" w:type="dxa"/>
          </w:tcPr>
          <w:p w14:paraId="00000534">
            <w:pPr>
              <w:jc w:val="center"/>
              <w:rPr>
                <w:rFonts w:ascii="Times New Roman" w:cs="Times New Roman" w:hAnsi="Times New Roman"/>
                <w:sz w:val="24"/>
                <w:szCs w:val="24"/>
              </w:rPr>
            </w:pPr>
            <w:r>
              <w:rPr>
                <w:rFonts w:ascii="Times New Roman" w:cs="Times New Roman" w:hAnsi="Times New Roman"/>
                <w:bCs/>
                <w:sz w:val="24"/>
                <w:szCs w:val="24"/>
              </w:rPr>
              <w:t>5 308</w:t>
            </w:r>
          </w:p>
        </w:tc>
        <w:tc>
          <w:tcPr>
            <w:cnfStyle w:val="000000010000"/>
            <w:tcW w:w="1019" w:type="dxa"/>
          </w:tcPr>
          <w:p w14:paraId="00000535">
            <w:pPr>
              <w:jc w:val="center"/>
              <w:rPr>
                <w:rFonts w:ascii="Times New Roman" w:cs="Times New Roman" w:hAnsi="Times New Roman"/>
                <w:sz w:val="24"/>
                <w:szCs w:val="24"/>
              </w:rPr>
            </w:pPr>
            <w:r>
              <w:rPr>
                <w:rFonts w:ascii="Times New Roman" w:cs="Times New Roman" w:hAnsi="Times New Roman"/>
                <w:bCs/>
                <w:sz w:val="24"/>
                <w:szCs w:val="24"/>
              </w:rPr>
              <w:t>100</w:t>
            </w:r>
          </w:p>
        </w:tc>
        <w:tc>
          <w:tcPr>
            <w:cnfStyle w:val="000000010000"/>
            <w:tcW w:w="4801" w:type="dxa"/>
          </w:tcPr>
          <w:p w14:paraId="00000536">
            <w:pPr>
              <w:jc w:val="center"/>
              <w:rPr>
                <w:rFonts w:ascii="Times New Roman" w:cs="Times New Roman" w:hAnsi="Times New Roman"/>
                <w:sz w:val="24"/>
                <w:szCs w:val="24"/>
              </w:rPr>
            </w:pPr>
          </w:p>
        </w:tc>
      </w:tr>
    </w:tbl>
    <w:p w14:paraId="0000053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Уровень операционных затрат в Пензенской области ниже, чем в среднем по России, за счёт более низкой арендной платы (350 руб./кв. м против 500–600 руб. в Москве) и заработной платы (на 15–20% ниже московского уровня). Сырьё и материалы – самая большая статья (55%). Энергозатраты снижены за счёт установки частотных преобразователей (экономия 15% по сравнению с базовым расчётом). ФОТ с отчислениями составляет около 1 млн руб. в месяц – это 18–19% от общих затрат. В структуре себестоимости единицы продукции (6 млн шт. в год) переменные затраты (сырьё, сдельная зарплата, топливо) составляют около 16 руб./шт., постоянные (аренда, оклады АУП, амортизация, маркетинг) – около 9 руб./шт. </w:t>
      </w:r>
    </w:p>
    <w:p w14:paraId="0000053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прогноза приняты следующие допущения:</w:t>
      </w:r>
    </w:p>
    <w:p w14:paraId="00000539">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1) загрузка мощностей: 1-й год – 60% (6 млн шт.), 2-й год – 80% (8 млн шт.), 3-й год – 90% (9 млн шт.), 4-й и 5-й год – 95% (9,5 млн шт.);</w:t>
      </w:r>
    </w:p>
    <w:p w14:paraId="0000053A">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цена реализации: стартует с 28 руб./шт. (что на 10–15% ниже конкурентов из других регионов), затем растёт на 1 руб. в год из-за инфляции и увеличения доли облицовочного кирпича в ассортименте;</w:t>
      </w:r>
    </w:p>
    <w:p w14:paraId="0000053B">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3) переменные затраты на 1 шт. – 15 руб. в первый год (с небольшим ростом из-за инфляции сырья);</w:t>
      </w:r>
    </w:p>
    <w:p w14:paraId="0000053C">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4) постоянные затраты – 38–54 млн руб. в год (рост за счёт индексации зарплат и аренды).</w:t>
      </w:r>
    </w:p>
    <w:p w14:paraId="0000053D">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3.9 – Прогноз финансовых результатов, млн руб.</w:t>
      </w:r>
    </w:p>
    <w:tbl>
      <w:tblPr>
        <w:tblStyle w:val="TableGrid"/>
        <w:tblW w:w="9398" w:type="dxa"/>
        <w:tblInd w:w="82" w:type="dxa"/>
        <w:tblLook w:val="04A0"/>
      </w:tblPr>
      <w:tblGrid>
        <w:gridCol w:w="3522"/>
        <w:gridCol w:w="1312"/>
        <w:gridCol w:w="1226"/>
        <w:gridCol w:w="1099"/>
        <w:gridCol w:w="1101"/>
        <w:gridCol w:w="1138"/>
      </w:tblGrid>
      <w:tr>
        <w:trPr/>
        <w:tc>
          <w:tcPr>
            <w:cnfStyle w:val="101000000000"/>
            <w:tcW w:w="3522" w:type="dxa"/>
          </w:tcPr>
          <w:p w14:paraId="0000053E">
            <w:pPr>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cnfStyle w:val="100000000000"/>
            <w:tcW w:w="1312" w:type="dxa"/>
          </w:tcPr>
          <w:p w14:paraId="0000053F">
            <w:pPr>
              <w:jc w:val="center"/>
              <w:rPr>
                <w:rFonts w:ascii="Times New Roman" w:cs="Times New Roman" w:hAnsi="Times New Roman"/>
                <w:sz w:val="24"/>
                <w:szCs w:val="24"/>
              </w:rPr>
            </w:pPr>
            <w:r>
              <w:rPr>
                <w:rFonts w:ascii="Times New Roman" w:cs="Times New Roman" w:hAnsi="Times New Roman"/>
                <w:sz w:val="24"/>
                <w:szCs w:val="24"/>
              </w:rPr>
              <w:t>Год 1</w:t>
            </w:r>
          </w:p>
        </w:tc>
        <w:tc>
          <w:tcPr>
            <w:cnfStyle w:val="100000000000"/>
            <w:tcW w:w="1226" w:type="dxa"/>
          </w:tcPr>
          <w:p w14:paraId="00000540">
            <w:pPr>
              <w:jc w:val="center"/>
              <w:rPr>
                <w:rFonts w:ascii="Times New Roman" w:cs="Times New Roman" w:hAnsi="Times New Roman"/>
                <w:sz w:val="24"/>
                <w:szCs w:val="24"/>
              </w:rPr>
            </w:pPr>
            <w:r>
              <w:rPr>
                <w:rFonts w:ascii="Times New Roman" w:cs="Times New Roman" w:hAnsi="Times New Roman"/>
                <w:sz w:val="24"/>
                <w:szCs w:val="24"/>
              </w:rPr>
              <w:t>Год 2</w:t>
            </w:r>
          </w:p>
        </w:tc>
        <w:tc>
          <w:tcPr>
            <w:cnfStyle w:val="100000000000"/>
            <w:tcW w:w="1099" w:type="dxa"/>
          </w:tcPr>
          <w:p w14:paraId="00000541">
            <w:pPr>
              <w:jc w:val="center"/>
              <w:rPr>
                <w:rFonts w:ascii="Times New Roman" w:cs="Times New Roman" w:hAnsi="Times New Roman"/>
                <w:sz w:val="24"/>
                <w:szCs w:val="24"/>
              </w:rPr>
            </w:pPr>
            <w:r>
              <w:rPr>
                <w:rFonts w:ascii="Times New Roman" w:cs="Times New Roman" w:hAnsi="Times New Roman"/>
                <w:sz w:val="24"/>
                <w:szCs w:val="24"/>
              </w:rPr>
              <w:t>Год 3</w:t>
            </w:r>
          </w:p>
        </w:tc>
        <w:tc>
          <w:tcPr>
            <w:cnfStyle w:val="100000000000"/>
            <w:tcW w:w="1101" w:type="dxa"/>
          </w:tcPr>
          <w:p w14:paraId="00000542">
            <w:pPr>
              <w:jc w:val="center"/>
              <w:rPr>
                <w:rFonts w:ascii="Times New Roman" w:cs="Times New Roman" w:hAnsi="Times New Roman"/>
                <w:sz w:val="24"/>
                <w:szCs w:val="24"/>
              </w:rPr>
            </w:pPr>
            <w:r>
              <w:rPr>
                <w:rFonts w:ascii="Times New Roman" w:cs="Times New Roman" w:hAnsi="Times New Roman"/>
                <w:sz w:val="24"/>
                <w:szCs w:val="24"/>
              </w:rPr>
              <w:t>Год 4</w:t>
            </w:r>
          </w:p>
        </w:tc>
        <w:tc>
          <w:tcPr>
            <w:cnfStyle w:val="100000000000"/>
            <w:tcW w:w="1138" w:type="dxa"/>
          </w:tcPr>
          <w:p w14:paraId="00000543">
            <w:pPr>
              <w:jc w:val="center"/>
              <w:rPr>
                <w:rFonts w:ascii="Times New Roman" w:cs="Times New Roman" w:hAnsi="Times New Roman"/>
                <w:sz w:val="24"/>
                <w:szCs w:val="24"/>
              </w:rPr>
            </w:pPr>
            <w:r>
              <w:rPr>
                <w:rFonts w:ascii="Times New Roman" w:cs="Times New Roman" w:hAnsi="Times New Roman"/>
                <w:sz w:val="24"/>
                <w:szCs w:val="24"/>
              </w:rPr>
              <w:t>Год 5</w:t>
            </w:r>
          </w:p>
        </w:tc>
      </w:tr>
      <w:tr>
        <w:trPr/>
        <w:tc>
          <w:tcPr>
            <w:cnfStyle w:val="001000100000"/>
            <w:tcW w:w="3522" w:type="dxa"/>
          </w:tcPr>
          <w:p w14:paraId="00000544">
            <w:pPr>
              <w:jc w:val="both"/>
              <w:rPr>
                <w:rFonts w:ascii="Times New Roman" w:cs="Times New Roman" w:hAnsi="Times New Roman"/>
                <w:sz w:val="24"/>
                <w:szCs w:val="24"/>
              </w:rPr>
            </w:pPr>
            <w:r>
              <w:rPr>
                <w:rFonts w:ascii="Times New Roman" w:cs="Times New Roman" w:hAnsi="Times New Roman"/>
                <w:sz w:val="24"/>
                <w:szCs w:val="24"/>
              </w:rPr>
              <w:t>Объём продаж, млн шт.</w:t>
            </w:r>
          </w:p>
        </w:tc>
        <w:tc>
          <w:tcPr>
            <w:cnfStyle w:val="000000100000"/>
            <w:tcW w:w="1312" w:type="dxa"/>
          </w:tcPr>
          <w:p w14:paraId="00000545">
            <w:pPr>
              <w:jc w:val="center"/>
              <w:rPr>
                <w:rFonts w:ascii="Times New Roman" w:cs="Times New Roman" w:hAnsi="Times New Roman"/>
                <w:sz w:val="24"/>
                <w:szCs w:val="24"/>
              </w:rPr>
            </w:pPr>
            <w:r>
              <w:rPr>
                <w:rFonts w:ascii="Times New Roman" w:cs="Times New Roman" w:hAnsi="Times New Roman"/>
                <w:sz w:val="24"/>
                <w:szCs w:val="24"/>
              </w:rPr>
              <w:t>6,0</w:t>
            </w:r>
          </w:p>
        </w:tc>
        <w:tc>
          <w:tcPr>
            <w:cnfStyle w:val="000000100000"/>
            <w:tcW w:w="1226" w:type="dxa"/>
          </w:tcPr>
          <w:p w14:paraId="00000546">
            <w:pPr>
              <w:jc w:val="center"/>
              <w:rPr>
                <w:rFonts w:ascii="Times New Roman" w:cs="Times New Roman" w:hAnsi="Times New Roman"/>
                <w:sz w:val="24"/>
                <w:szCs w:val="24"/>
              </w:rPr>
            </w:pPr>
            <w:r>
              <w:rPr>
                <w:rFonts w:ascii="Times New Roman" w:cs="Times New Roman" w:hAnsi="Times New Roman"/>
                <w:sz w:val="24"/>
                <w:szCs w:val="24"/>
              </w:rPr>
              <w:t>8,0</w:t>
            </w:r>
          </w:p>
        </w:tc>
        <w:tc>
          <w:tcPr>
            <w:cnfStyle w:val="000000100000"/>
            <w:tcW w:w="1099" w:type="dxa"/>
          </w:tcPr>
          <w:p w14:paraId="00000547">
            <w:pPr>
              <w:jc w:val="center"/>
              <w:rPr>
                <w:rFonts w:ascii="Times New Roman" w:cs="Times New Roman" w:hAnsi="Times New Roman"/>
                <w:sz w:val="24"/>
                <w:szCs w:val="24"/>
              </w:rPr>
            </w:pPr>
            <w:r>
              <w:rPr>
                <w:rFonts w:ascii="Times New Roman" w:cs="Times New Roman" w:hAnsi="Times New Roman"/>
                <w:sz w:val="24"/>
                <w:szCs w:val="24"/>
              </w:rPr>
              <w:t>9,0</w:t>
            </w:r>
          </w:p>
        </w:tc>
        <w:tc>
          <w:tcPr>
            <w:cnfStyle w:val="000000100000"/>
            <w:tcW w:w="1101" w:type="dxa"/>
          </w:tcPr>
          <w:p w14:paraId="00000548">
            <w:pPr>
              <w:jc w:val="center"/>
              <w:rPr>
                <w:rFonts w:ascii="Times New Roman" w:cs="Times New Roman" w:hAnsi="Times New Roman"/>
                <w:sz w:val="24"/>
                <w:szCs w:val="24"/>
              </w:rPr>
            </w:pPr>
            <w:r>
              <w:rPr>
                <w:rFonts w:ascii="Times New Roman" w:cs="Times New Roman" w:hAnsi="Times New Roman"/>
                <w:sz w:val="24"/>
                <w:szCs w:val="24"/>
              </w:rPr>
              <w:t>9,5</w:t>
            </w:r>
          </w:p>
        </w:tc>
        <w:tc>
          <w:tcPr>
            <w:cnfStyle w:val="000000100000"/>
            <w:tcW w:w="1138" w:type="dxa"/>
          </w:tcPr>
          <w:p w14:paraId="00000549">
            <w:pPr>
              <w:jc w:val="center"/>
              <w:rPr>
                <w:rFonts w:ascii="Times New Roman" w:cs="Times New Roman" w:hAnsi="Times New Roman"/>
                <w:sz w:val="24"/>
                <w:szCs w:val="24"/>
              </w:rPr>
            </w:pPr>
            <w:r>
              <w:rPr>
                <w:rFonts w:ascii="Times New Roman" w:cs="Times New Roman" w:hAnsi="Times New Roman"/>
                <w:sz w:val="24"/>
                <w:szCs w:val="24"/>
              </w:rPr>
              <w:t>9,5</w:t>
            </w:r>
          </w:p>
        </w:tc>
      </w:tr>
      <w:tr>
        <w:trPr>
          <w:trHeight w:val="262"/>
        </w:trPr>
        <w:tc>
          <w:tcPr>
            <w:cnfStyle w:val="001000010000"/>
            <w:tcW w:w="3522" w:type="dxa"/>
          </w:tcPr>
          <w:p w14:paraId="0000054A">
            <w:pPr>
              <w:jc w:val="both"/>
              <w:rPr>
                <w:rFonts w:ascii="Times New Roman" w:cs="Times New Roman" w:hAnsi="Times New Roman"/>
                <w:sz w:val="24"/>
                <w:szCs w:val="24"/>
              </w:rPr>
            </w:pPr>
            <w:r>
              <w:rPr>
                <w:rFonts w:ascii="Times New Roman" w:cs="Times New Roman" w:hAnsi="Times New Roman"/>
                <w:sz w:val="24"/>
                <w:szCs w:val="24"/>
              </w:rPr>
              <w:t>Средняя цена, руб./шт.</w:t>
            </w:r>
          </w:p>
        </w:tc>
        <w:tc>
          <w:tcPr>
            <w:cnfStyle w:val="000000010000"/>
            <w:tcW w:w="1312" w:type="dxa"/>
          </w:tcPr>
          <w:p w14:paraId="0000054B">
            <w:pPr>
              <w:jc w:val="center"/>
              <w:rPr>
                <w:rFonts w:ascii="Times New Roman" w:cs="Times New Roman" w:hAnsi="Times New Roman"/>
                <w:sz w:val="24"/>
                <w:szCs w:val="24"/>
              </w:rPr>
            </w:pPr>
            <w:r>
              <w:rPr>
                <w:rFonts w:ascii="Times New Roman" w:cs="Times New Roman" w:hAnsi="Times New Roman"/>
                <w:sz w:val="24"/>
                <w:szCs w:val="24"/>
              </w:rPr>
              <w:t>28</w:t>
            </w:r>
          </w:p>
        </w:tc>
        <w:tc>
          <w:tcPr>
            <w:cnfStyle w:val="000000010000"/>
            <w:tcW w:w="1226" w:type="dxa"/>
          </w:tcPr>
          <w:p w14:paraId="0000054C">
            <w:pPr>
              <w:jc w:val="center"/>
              <w:rPr>
                <w:rFonts w:ascii="Times New Roman" w:cs="Times New Roman" w:hAnsi="Times New Roman"/>
                <w:sz w:val="24"/>
                <w:szCs w:val="24"/>
              </w:rPr>
            </w:pPr>
            <w:r>
              <w:rPr>
                <w:rFonts w:ascii="Times New Roman" w:cs="Times New Roman" w:hAnsi="Times New Roman"/>
                <w:sz w:val="24"/>
                <w:szCs w:val="24"/>
              </w:rPr>
              <w:t>29</w:t>
            </w:r>
          </w:p>
        </w:tc>
        <w:tc>
          <w:tcPr>
            <w:cnfStyle w:val="000000010000"/>
            <w:tcW w:w="1099" w:type="dxa"/>
          </w:tcPr>
          <w:p w14:paraId="0000054D">
            <w:pPr>
              <w:jc w:val="center"/>
              <w:rPr>
                <w:rFonts w:ascii="Times New Roman" w:cs="Times New Roman" w:hAnsi="Times New Roman"/>
                <w:sz w:val="24"/>
                <w:szCs w:val="24"/>
              </w:rPr>
            </w:pPr>
            <w:r>
              <w:rPr>
                <w:rFonts w:ascii="Times New Roman" w:cs="Times New Roman" w:hAnsi="Times New Roman"/>
                <w:sz w:val="24"/>
                <w:szCs w:val="24"/>
              </w:rPr>
              <w:t>30</w:t>
            </w:r>
          </w:p>
        </w:tc>
        <w:tc>
          <w:tcPr>
            <w:cnfStyle w:val="000000010000"/>
            <w:tcW w:w="1101" w:type="dxa"/>
          </w:tcPr>
          <w:p w14:paraId="0000054E">
            <w:pPr>
              <w:jc w:val="center"/>
              <w:rPr>
                <w:rFonts w:ascii="Times New Roman" w:cs="Times New Roman" w:hAnsi="Times New Roman"/>
                <w:sz w:val="24"/>
                <w:szCs w:val="24"/>
              </w:rPr>
            </w:pPr>
            <w:r>
              <w:rPr>
                <w:rFonts w:ascii="Times New Roman" w:cs="Times New Roman" w:hAnsi="Times New Roman"/>
                <w:sz w:val="24"/>
                <w:szCs w:val="24"/>
              </w:rPr>
              <w:t>31</w:t>
            </w:r>
          </w:p>
        </w:tc>
        <w:tc>
          <w:tcPr>
            <w:cnfStyle w:val="000000010000"/>
            <w:tcW w:w="1138" w:type="dxa"/>
          </w:tcPr>
          <w:p w14:paraId="0000054F">
            <w:pPr>
              <w:jc w:val="center"/>
              <w:rPr>
                <w:rFonts w:ascii="Times New Roman" w:cs="Times New Roman" w:hAnsi="Times New Roman"/>
                <w:sz w:val="24"/>
                <w:szCs w:val="24"/>
              </w:rPr>
            </w:pPr>
            <w:r>
              <w:rPr>
                <w:rFonts w:ascii="Times New Roman" w:cs="Times New Roman" w:hAnsi="Times New Roman"/>
                <w:sz w:val="24"/>
                <w:szCs w:val="24"/>
              </w:rPr>
              <w:t>32</w:t>
            </w:r>
          </w:p>
        </w:tc>
      </w:tr>
      <w:tr>
        <w:trPr/>
        <w:tc>
          <w:tcPr>
            <w:cnfStyle w:val="001000100000"/>
            <w:tcW w:w="3522" w:type="dxa"/>
          </w:tcPr>
          <w:p w14:paraId="00000550">
            <w:pPr>
              <w:jc w:val="both"/>
              <w:rPr>
                <w:rFonts w:ascii="Times New Roman" w:cs="Times New Roman" w:hAnsi="Times New Roman"/>
                <w:sz w:val="24"/>
                <w:szCs w:val="24"/>
              </w:rPr>
            </w:pPr>
            <w:r>
              <w:rPr>
                <w:rFonts w:ascii="Times New Roman" w:cs="Times New Roman" w:hAnsi="Times New Roman"/>
                <w:sz w:val="24"/>
                <w:szCs w:val="24"/>
              </w:rPr>
              <w:t>Выручка</w:t>
            </w:r>
          </w:p>
        </w:tc>
        <w:tc>
          <w:tcPr>
            <w:cnfStyle w:val="000000100000"/>
            <w:tcW w:w="1312" w:type="dxa"/>
          </w:tcPr>
          <w:p w14:paraId="00000551">
            <w:pPr>
              <w:jc w:val="center"/>
              <w:rPr>
                <w:rFonts w:ascii="Times New Roman" w:cs="Times New Roman" w:hAnsi="Times New Roman"/>
                <w:sz w:val="24"/>
                <w:szCs w:val="24"/>
              </w:rPr>
            </w:pPr>
            <w:r>
              <w:rPr>
                <w:rFonts w:ascii="Times New Roman" w:cs="Times New Roman" w:hAnsi="Times New Roman"/>
                <w:sz w:val="24"/>
                <w:szCs w:val="24"/>
              </w:rPr>
              <w:t>168</w:t>
            </w:r>
          </w:p>
        </w:tc>
        <w:tc>
          <w:tcPr>
            <w:cnfStyle w:val="000000100000"/>
            <w:tcW w:w="1226" w:type="dxa"/>
          </w:tcPr>
          <w:p w14:paraId="00000552">
            <w:pPr>
              <w:jc w:val="center"/>
              <w:rPr>
                <w:rFonts w:ascii="Times New Roman" w:cs="Times New Roman" w:hAnsi="Times New Roman"/>
                <w:sz w:val="24"/>
                <w:szCs w:val="24"/>
              </w:rPr>
            </w:pPr>
            <w:r>
              <w:rPr>
                <w:rFonts w:ascii="Times New Roman" w:cs="Times New Roman" w:hAnsi="Times New Roman"/>
                <w:sz w:val="24"/>
                <w:szCs w:val="24"/>
              </w:rPr>
              <w:t>232</w:t>
            </w:r>
          </w:p>
        </w:tc>
        <w:tc>
          <w:tcPr>
            <w:cnfStyle w:val="000000100000"/>
            <w:tcW w:w="1099" w:type="dxa"/>
          </w:tcPr>
          <w:p w14:paraId="00000553">
            <w:pPr>
              <w:jc w:val="center"/>
              <w:rPr>
                <w:rFonts w:ascii="Times New Roman" w:cs="Times New Roman" w:hAnsi="Times New Roman"/>
                <w:sz w:val="24"/>
                <w:szCs w:val="24"/>
              </w:rPr>
            </w:pPr>
            <w:r>
              <w:rPr>
                <w:rFonts w:ascii="Times New Roman" w:cs="Times New Roman" w:hAnsi="Times New Roman"/>
                <w:sz w:val="24"/>
                <w:szCs w:val="24"/>
              </w:rPr>
              <w:t>270</w:t>
            </w:r>
          </w:p>
        </w:tc>
        <w:tc>
          <w:tcPr>
            <w:cnfStyle w:val="000000100000"/>
            <w:tcW w:w="1101" w:type="dxa"/>
          </w:tcPr>
          <w:p w14:paraId="00000554">
            <w:pPr>
              <w:jc w:val="center"/>
              <w:rPr>
                <w:rFonts w:ascii="Times New Roman" w:cs="Times New Roman" w:hAnsi="Times New Roman"/>
                <w:sz w:val="24"/>
                <w:szCs w:val="24"/>
              </w:rPr>
            </w:pPr>
            <w:r>
              <w:rPr>
                <w:rFonts w:ascii="Times New Roman" w:cs="Times New Roman" w:hAnsi="Times New Roman"/>
                <w:sz w:val="24"/>
                <w:szCs w:val="24"/>
              </w:rPr>
              <w:t>294</w:t>
            </w:r>
          </w:p>
        </w:tc>
        <w:tc>
          <w:tcPr>
            <w:cnfStyle w:val="000000100000"/>
            <w:tcW w:w="1138" w:type="dxa"/>
          </w:tcPr>
          <w:p w14:paraId="00000555">
            <w:pPr>
              <w:jc w:val="center"/>
              <w:rPr>
                <w:rFonts w:ascii="Times New Roman" w:cs="Times New Roman" w:hAnsi="Times New Roman"/>
                <w:sz w:val="24"/>
                <w:szCs w:val="24"/>
              </w:rPr>
            </w:pPr>
            <w:r>
              <w:rPr>
                <w:rFonts w:ascii="Times New Roman" w:cs="Times New Roman" w:hAnsi="Times New Roman"/>
                <w:sz w:val="24"/>
                <w:szCs w:val="24"/>
              </w:rPr>
              <w:t>304</w:t>
            </w:r>
          </w:p>
        </w:tc>
      </w:tr>
      <w:tr>
        <w:trPr/>
        <w:tc>
          <w:tcPr>
            <w:cnfStyle w:val="001000010000"/>
            <w:tcW w:w="3522" w:type="dxa"/>
          </w:tcPr>
          <w:p w14:paraId="00000556">
            <w:pPr>
              <w:jc w:val="both"/>
              <w:rPr>
                <w:rFonts w:ascii="Times New Roman" w:cs="Times New Roman" w:hAnsi="Times New Roman"/>
                <w:sz w:val="24"/>
                <w:szCs w:val="24"/>
              </w:rPr>
            </w:pPr>
            <w:r>
              <w:rPr>
                <w:rFonts w:ascii="Times New Roman" w:cs="Times New Roman" w:hAnsi="Times New Roman"/>
                <w:sz w:val="24"/>
                <w:szCs w:val="24"/>
              </w:rPr>
              <w:t>Переменные затраты (15 руб./шт. + инфляция)</w:t>
            </w:r>
          </w:p>
        </w:tc>
        <w:tc>
          <w:tcPr>
            <w:cnfStyle w:val="000000010000"/>
            <w:tcW w:w="1312" w:type="dxa"/>
          </w:tcPr>
          <w:p w14:paraId="00000557">
            <w:pPr>
              <w:jc w:val="center"/>
              <w:rPr>
                <w:rFonts w:ascii="Times New Roman" w:cs="Times New Roman" w:hAnsi="Times New Roman"/>
                <w:sz w:val="24"/>
                <w:szCs w:val="24"/>
              </w:rPr>
            </w:pPr>
            <w:r>
              <w:rPr>
                <w:rFonts w:ascii="Times New Roman" w:cs="Times New Roman" w:hAnsi="Times New Roman"/>
                <w:sz w:val="24"/>
                <w:szCs w:val="24"/>
              </w:rPr>
              <w:t>90</w:t>
            </w:r>
          </w:p>
        </w:tc>
        <w:tc>
          <w:tcPr>
            <w:cnfStyle w:val="000000010000"/>
            <w:tcW w:w="1226" w:type="dxa"/>
          </w:tcPr>
          <w:p w14:paraId="00000558">
            <w:pPr>
              <w:jc w:val="center"/>
              <w:rPr>
                <w:rFonts w:ascii="Times New Roman" w:cs="Times New Roman" w:hAnsi="Times New Roman"/>
                <w:sz w:val="24"/>
                <w:szCs w:val="24"/>
              </w:rPr>
            </w:pPr>
            <w:r>
              <w:rPr>
                <w:rFonts w:ascii="Times New Roman" w:cs="Times New Roman" w:hAnsi="Times New Roman"/>
                <w:sz w:val="24"/>
                <w:szCs w:val="24"/>
              </w:rPr>
              <w:t>122</w:t>
            </w:r>
          </w:p>
        </w:tc>
        <w:tc>
          <w:tcPr>
            <w:cnfStyle w:val="000000010000"/>
            <w:tcW w:w="1099" w:type="dxa"/>
          </w:tcPr>
          <w:p w14:paraId="00000559">
            <w:pPr>
              <w:jc w:val="center"/>
              <w:rPr>
                <w:rFonts w:ascii="Times New Roman" w:cs="Times New Roman" w:hAnsi="Times New Roman"/>
                <w:sz w:val="24"/>
                <w:szCs w:val="24"/>
              </w:rPr>
            </w:pPr>
            <w:r>
              <w:rPr>
                <w:rFonts w:ascii="Times New Roman" w:cs="Times New Roman" w:hAnsi="Times New Roman"/>
                <w:sz w:val="24"/>
                <w:szCs w:val="24"/>
              </w:rPr>
              <w:t>140</w:t>
            </w:r>
          </w:p>
        </w:tc>
        <w:tc>
          <w:tcPr>
            <w:cnfStyle w:val="000000010000"/>
            <w:tcW w:w="1101" w:type="dxa"/>
          </w:tcPr>
          <w:p w14:paraId="0000055A">
            <w:pPr>
              <w:jc w:val="center"/>
              <w:rPr>
                <w:rFonts w:ascii="Times New Roman" w:cs="Times New Roman" w:hAnsi="Times New Roman"/>
                <w:sz w:val="24"/>
                <w:szCs w:val="24"/>
              </w:rPr>
            </w:pPr>
            <w:r>
              <w:rPr>
                <w:rFonts w:ascii="Times New Roman" w:cs="Times New Roman" w:hAnsi="Times New Roman"/>
                <w:sz w:val="24"/>
                <w:szCs w:val="24"/>
              </w:rPr>
              <w:t>149</w:t>
            </w:r>
          </w:p>
        </w:tc>
        <w:tc>
          <w:tcPr>
            <w:cnfStyle w:val="000000010000"/>
            <w:tcW w:w="1138" w:type="dxa"/>
          </w:tcPr>
          <w:p w14:paraId="0000055B">
            <w:pPr>
              <w:jc w:val="center"/>
              <w:rPr>
                <w:rFonts w:ascii="Times New Roman" w:cs="Times New Roman" w:hAnsi="Times New Roman"/>
                <w:sz w:val="24"/>
                <w:szCs w:val="24"/>
              </w:rPr>
            </w:pPr>
            <w:r>
              <w:rPr>
                <w:rFonts w:ascii="Times New Roman" w:cs="Times New Roman" w:hAnsi="Times New Roman"/>
                <w:sz w:val="24"/>
                <w:szCs w:val="24"/>
              </w:rPr>
              <w:t>152</w:t>
            </w:r>
          </w:p>
        </w:tc>
      </w:tr>
      <w:tr>
        <w:trPr/>
        <w:tc>
          <w:tcPr>
            <w:cnfStyle w:val="001000100000"/>
            <w:tcW w:w="3522" w:type="dxa"/>
          </w:tcPr>
          <w:p w14:paraId="0000055C">
            <w:pPr>
              <w:jc w:val="both"/>
              <w:rPr>
                <w:rFonts w:ascii="Times New Roman" w:cs="Times New Roman" w:hAnsi="Times New Roman"/>
                <w:sz w:val="24"/>
                <w:szCs w:val="24"/>
              </w:rPr>
            </w:pPr>
            <w:r>
              <w:rPr>
                <w:rFonts w:ascii="Times New Roman" w:cs="Times New Roman" w:hAnsi="Times New Roman"/>
                <w:sz w:val="24"/>
                <w:szCs w:val="24"/>
              </w:rPr>
              <w:t>Постоянные затраты</w:t>
            </w:r>
          </w:p>
        </w:tc>
        <w:tc>
          <w:tcPr>
            <w:cnfStyle w:val="000000100000"/>
            <w:tcW w:w="1312" w:type="dxa"/>
          </w:tcPr>
          <w:p w14:paraId="0000055D">
            <w:pPr>
              <w:jc w:val="center"/>
              <w:rPr>
                <w:rFonts w:ascii="Times New Roman" w:cs="Times New Roman" w:hAnsi="Times New Roman"/>
                <w:sz w:val="24"/>
                <w:szCs w:val="24"/>
              </w:rPr>
            </w:pPr>
            <w:r>
              <w:rPr>
                <w:rFonts w:ascii="Times New Roman" w:cs="Times New Roman" w:hAnsi="Times New Roman"/>
                <w:sz w:val="24"/>
                <w:szCs w:val="24"/>
              </w:rPr>
              <w:t>38</w:t>
            </w:r>
          </w:p>
        </w:tc>
        <w:tc>
          <w:tcPr>
            <w:cnfStyle w:val="000000100000"/>
            <w:tcW w:w="1226" w:type="dxa"/>
          </w:tcPr>
          <w:p w14:paraId="0000055E">
            <w:pPr>
              <w:jc w:val="center"/>
              <w:rPr>
                <w:rFonts w:ascii="Times New Roman" w:cs="Times New Roman" w:hAnsi="Times New Roman"/>
                <w:sz w:val="24"/>
                <w:szCs w:val="24"/>
              </w:rPr>
            </w:pPr>
            <w:r>
              <w:rPr>
                <w:rFonts w:ascii="Times New Roman" w:cs="Times New Roman" w:hAnsi="Times New Roman"/>
                <w:sz w:val="24"/>
                <w:szCs w:val="24"/>
              </w:rPr>
              <w:t>42</w:t>
            </w:r>
          </w:p>
        </w:tc>
        <w:tc>
          <w:tcPr>
            <w:cnfStyle w:val="000000100000"/>
            <w:tcW w:w="1099" w:type="dxa"/>
          </w:tcPr>
          <w:p w14:paraId="0000055F">
            <w:pPr>
              <w:jc w:val="center"/>
              <w:rPr>
                <w:rFonts w:ascii="Times New Roman" w:cs="Times New Roman" w:hAnsi="Times New Roman"/>
                <w:sz w:val="24"/>
                <w:szCs w:val="24"/>
              </w:rPr>
            </w:pPr>
            <w:r>
              <w:rPr>
                <w:rFonts w:ascii="Times New Roman" w:cs="Times New Roman" w:hAnsi="Times New Roman"/>
                <w:sz w:val="24"/>
                <w:szCs w:val="24"/>
              </w:rPr>
              <w:t>46</w:t>
            </w:r>
          </w:p>
        </w:tc>
        <w:tc>
          <w:tcPr>
            <w:cnfStyle w:val="000000100000"/>
            <w:tcW w:w="1101" w:type="dxa"/>
          </w:tcPr>
          <w:p w14:paraId="00000560">
            <w:pPr>
              <w:jc w:val="center"/>
              <w:rPr>
                <w:rFonts w:ascii="Times New Roman" w:cs="Times New Roman" w:hAnsi="Times New Roman"/>
                <w:sz w:val="24"/>
                <w:szCs w:val="24"/>
              </w:rPr>
            </w:pPr>
            <w:r>
              <w:rPr>
                <w:rFonts w:ascii="Times New Roman" w:cs="Times New Roman" w:hAnsi="Times New Roman"/>
                <w:sz w:val="24"/>
                <w:szCs w:val="24"/>
              </w:rPr>
              <w:t>50</w:t>
            </w:r>
          </w:p>
        </w:tc>
        <w:tc>
          <w:tcPr>
            <w:cnfStyle w:val="000000100000"/>
            <w:tcW w:w="1138" w:type="dxa"/>
          </w:tcPr>
          <w:p w14:paraId="00000561">
            <w:pPr>
              <w:jc w:val="center"/>
              <w:rPr>
                <w:rFonts w:ascii="Times New Roman" w:cs="Times New Roman" w:hAnsi="Times New Roman"/>
                <w:sz w:val="24"/>
                <w:szCs w:val="24"/>
              </w:rPr>
            </w:pPr>
            <w:r>
              <w:rPr>
                <w:rFonts w:ascii="Times New Roman" w:cs="Times New Roman" w:hAnsi="Times New Roman"/>
                <w:sz w:val="24"/>
                <w:szCs w:val="24"/>
              </w:rPr>
              <w:t>54</w:t>
            </w:r>
          </w:p>
        </w:tc>
      </w:tr>
      <w:tr>
        <w:trPr/>
        <w:tc>
          <w:tcPr>
            <w:cnfStyle w:val="001000010000"/>
            <w:tcW w:w="3522" w:type="dxa"/>
          </w:tcPr>
          <w:p w14:paraId="00000562">
            <w:pPr>
              <w:jc w:val="both"/>
              <w:rPr>
                <w:rFonts w:ascii="Times New Roman" w:cs="Times New Roman" w:hAnsi="Times New Roman"/>
                <w:sz w:val="24"/>
                <w:szCs w:val="24"/>
              </w:rPr>
            </w:pPr>
            <w:r>
              <w:rPr>
                <w:rFonts w:ascii="Times New Roman" w:cs="Times New Roman" w:hAnsi="Times New Roman"/>
                <w:sz w:val="24"/>
                <w:szCs w:val="24"/>
              </w:rPr>
              <w:t>Прибыль до налога</w:t>
            </w:r>
          </w:p>
        </w:tc>
        <w:tc>
          <w:tcPr>
            <w:cnfStyle w:val="000000010000"/>
            <w:tcW w:w="1312" w:type="dxa"/>
          </w:tcPr>
          <w:p w14:paraId="00000563">
            <w:pPr>
              <w:jc w:val="center"/>
              <w:rPr>
                <w:rFonts w:ascii="Times New Roman" w:cs="Times New Roman" w:hAnsi="Times New Roman"/>
                <w:sz w:val="24"/>
                <w:szCs w:val="24"/>
              </w:rPr>
            </w:pPr>
            <w:r>
              <w:rPr>
                <w:rFonts w:ascii="Times New Roman" w:cs="Times New Roman" w:hAnsi="Times New Roman"/>
                <w:sz w:val="24"/>
                <w:szCs w:val="24"/>
              </w:rPr>
              <w:t>40</w:t>
            </w:r>
          </w:p>
        </w:tc>
        <w:tc>
          <w:tcPr>
            <w:cnfStyle w:val="000000010000"/>
            <w:tcW w:w="1226" w:type="dxa"/>
          </w:tcPr>
          <w:p w14:paraId="00000564">
            <w:pPr>
              <w:jc w:val="center"/>
              <w:rPr>
                <w:rFonts w:ascii="Times New Roman" w:cs="Times New Roman" w:hAnsi="Times New Roman"/>
                <w:sz w:val="24"/>
                <w:szCs w:val="24"/>
              </w:rPr>
            </w:pPr>
            <w:r>
              <w:rPr>
                <w:rFonts w:ascii="Times New Roman" w:cs="Times New Roman" w:hAnsi="Times New Roman"/>
                <w:sz w:val="24"/>
                <w:szCs w:val="24"/>
              </w:rPr>
              <w:t>68</w:t>
            </w:r>
          </w:p>
        </w:tc>
        <w:tc>
          <w:tcPr>
            <w:cnfStyle w:val="000000010000"/>
            <w:tcW w:w="1099" w:type="dxa"/>
          </w:tcPr>
          <w:p w14:paraId="00000565">
            <w:pPr>
              <w:jc w:val="center"/>
              <w:rPr>
                <w:rFonts w:ascii="Times New Roman" w:cs="Times New Roman" w:hAnsi="Times New Roman"/>
                <w:sz w:val="24"/>
                <w:szCs w:val="24"/>
              </w:rPr>
            </w:pPr>
            <w:r>
              <w:rPr>
                <w:rFonts w:ascii="Times New Roman" w:cs="Times New Roman" w:hAnsi="Times New Roman"/>
                <w:sz w:val="24"/>
                <w:szCs w:val="24"/>
              </w:rPr>
              <w:t>84</w:t>
            </w:r>
          </w:p>
        </w:tc>
        <w:tc>
          <w:tcPr>
            <w:cnfStyle w:val="000000010000"/>
            <w:tcW w:w="1101" w:type="dxa"/>
          </w:tcPr>
          <w:p w14:paraId="00000566">
            <w:pPr>
              <w:jc w:val="center"/>
              <w:rPr>
                <w:rFonts w:ascii="Times New Roman" w:cs="Times New Roman" w:hAnsi="Times New Roman"/>
                <w:sz w:val="24"/>
                <w:szCs w:val="24"/>
              </w:rPr>
            </w:pPr>
            <w:r>
              <w:rPr>
                <w:rFonts w:ascii="Times New Roman" w:cs="Times New Roman" w:hAnsi="Times New Roman"/>
                <w:sz w:val="24"/>
                <w:szCs w:val="24"/>
              </w:rPr>
              <w:t>95</w:t>
            </w:r>
          </w:p>
        </w:tc>
        <w:tc>
          <w:tcPr>
            <w:cnfStyle w:val="000000010000"/>
            <w:tcW w:w="1138" w:type="dxa"/>
          </w:tcPr>
          <w:p w14:paraId="00000567">
            <w:pPr>
              <w:jc w:val="center"/>
              <w:rPr>
                <w:rFonts w:ascii="Times New Roman" w:cs="Times New Roman" w:hAnsi="Times New Roman"/>
                <w:sz w:val="24"/>
                <w:szCs w:val="24"/>
              </w:rPr>
            </w:pPr>
            <w:r>
              <w:rPr>
                <w:rFonts w:ascii="Times New Roman" w:cs="Times New Roman" w:hAnsi="Times New Roman"/>
                <w:sz w:val="24"/>
                <w:szCs w:val="24"/>
              </w:rPr>
              <w:t>98</w:t>
            </w:r>
          </w:p>
        </w:tc>
      </w:tr>
      <w:tr>
        <w:trPr/>
        <w:tc>
          <w:tcPr>
            <w:cnfStyle w:val="001000100000"/>
            <w:tcW w:w="3522" w:type="dxa"/>
          </w:tcPr>
          <w:p w14:paraId="00000568">
            <w:pPr>
              <w:jc w:val="both"/>
              <w:rPr>
                <w:rFonts w:ascii="Times New Roman" w:cs="Times New Roman" w:hAnsi="Times New Roman"/>
                <w:sz w:val="24"/>
                <w:szCs w:val="24"/>
              </w:rPr>
            </w:pPr>
            <w:r>
              <w:rPr>
                <w:rFonts w:ascii="Times New Roman" w:cs="Times New Roman" w:hAnsi="Times New Roman"/>
                <w:sz w:val="24"/>
                <w:szCs w:val="24"/>
              </w:rPr>
              <w:t>Налог УСН (15%)</w:t>
            </w:r>
          </w:p>
        </w:tc>
        <w:tc>
          <w:tcPr>
            <w:cnfStyle w:val="000000100000"/>
            <w:tcW w:w="1312" w:type="dxa"/>
          </w:tcPr>
          <w:p w14:paraId="00000569">
            <w:pPr>
              <w:jc w:val="center"/>
              <w:rPr>
                <w:rFonts w:ascii="Times New Roman" w:cs="Times New Roman" w:hAnsi="Times New Roman"/>
                <w:sz w:val="24"/>
                <w:szCs w:val="24"/>
              </w:rPr>
            </w:pPr>
            <w:r>
              <w:rPr>
                <w:rFonts w:ascii="Times New Roman" w:cs="Times New Roman" w:hAnsi="Times New Roman"/>
                <w:sz w:val="24"/>
                <w:szCs w:val="24"/>
              </w:rPr>
              <w:t>6,0</w:t>
            </w:r>
          </w:p>
        </w:tc>
        <w:tc>
          <w:tcPr>
            <w:cnfStyle w:val="000000100000"/>
            <w:tcW w:w="1226" w:type="dxa"/>
          </w:tcPr>
          <w:p w14:paraId="0000056A">
            <w:pPr>
              <w:jc w:val="center"/>
              <w:rPr>
                <w:rFonts w:ascii="Times New Roman" w:cs="Times New Roman" w:hAnsi="Times New Roman"/>
                <w:sz w:val="24"/>
                <w:szCs w:val="24"/>
              </w:rPr>
            </w:pPr>
            <w:r>
              <w:rPr>
                <w:rFonts w:ascii="Times New Roman" w:cs="Times New Roman" w:hAnsi="Times New Roman"/>
                <w:sz w:val="24"/>
                <w:szCs w:val="24"/>
              </w:rPr>
              <w:t>10,2</w:t>
            </w:r>
          </w:p>
        </w:tc>
        <w:tc>
          <w:tcPr>
            <w:cnfStyle w:val="000000100000"/>
            <w:tcW w:w="1099" w:type="dxa"/>
          </w:tcPr>
          <w:p w14:paraId="0000056B">
            <w:pPr>
              <w:jc w:val="center"/>
              <w:rPr>
                <w:rFonts w:ascii="Times New Roman" w:cs="Times New Roman" w:hAnsi="Times New Roman"/>
                <w:sz w:val="24"/>
                <w:szCs w:val="24"/>
              </w:rPr>
            </w:pPr>
            <w:r>
              <w:rPr>
                <w:rFonts w:ascii="Times New Roman" w:cs="Times New Roman" w:hAnsi="Times New Roman"/>
                <w:sz w:val="24"/>
                <w:szCs w:val="24"/>
              </w:rPr>
              <w:t>12,6</w:t>
            </w:r>
          </w:p>
        </w:tc>
        <w:tc>
          <w:tcPr>
            <w:cnfStyle w:val="000000100000"/>
            <w:tcW w:w="1101" w:type="dxa"/>
          </w:tcPr>
          <w:p w14:paraId="0000056C">
            <w:pPr>
              <w:jc w:val="center"/>
              <w:rPr>
                <w:rFonts w:ascii="Times New Roman" w:cs="Times New Roman" w:hAnsi="Times New Roman"/>
                <w:sz w:val="24"/>
                <w:szCs w:val="24"/>
              </w:rPr>
            </w:pPr>
            <w:r>
              <w:rPr>
                <w:rFonts w:ascii="Times New Roman" w:cs="Times New Roman" w:hAnsi="Times New Roman"/>
                <w:sz w:val="24"/>
                <w:szCs w:val="24"/>
              </w:rPr>
              <w:t>14,3</w:t>
            </w:r>
          </w:p>
        </w:tc>
        <w:tc>
          <w:tcPr>
            <w:cnfStyle w:val="000000100000"/>
            <w:tcW w:w="1138" w:type="dxa"/>
          </w:tcPr>
          <w:p w14:paraId="0000056D">
            <w:pPr>
              <w:jc w:val="center"/>
              <w:rPr>
                <w:rFonts w:ascii="Times New Roman" w:cs="Times New Roman" w:hAnsi="Times New Roman"/>
                <w:sz w:val="24"/>
                <w:szCs w:val="24"/>
              </w:rPr>
            </w:pPr>
            <w:r>
              <w:rPr>
                <w:rFonts w:ascii="Times New Roman" w:cs="Times New Roman" w:hAnsi="Times New Roman"/>
                <w:sz w:val="24"/>
                <w:szCs w:val="24"/>
              </w:rPr>
              <w:t>14,7</w:t>
            </w:r>
          </w:p>
        </w:tc>
      </w:tr>
      <w:tr>
        <w:trPr/>
        <w:tc>
          <w:tcPr>
            <w:cnfStyle w:val="001000010000"/>
            <w:tcW w:w="3522" w:type="dxa"/>
          </w:tcPr>
          <w:p w14:paraId="0000056E">
            <w:pPr>
              <w:jc w:val="both"/>
              <w:rPr>
                <w:rFonts w:ascii="Times New Roman" w:cs="Times New Roman" w:hAnsi="Times New Roman"/>
                <w:sz w:val="24"/>
                <w:szCs w:val="24"/>
              </w:rPr>
            </w:pPr>
            <w:r>
              <w:rPr>
                <w:rFonts w:ascii="Times New Roman" w:cs="Times New Roman" w:hAnsi="Times New Roman"/>
                <w:bCs/>
                <w:sz w:val="24"/>
                <w:szCs w:val="24"/>
              </w:rPr>
              <w:t>Чистая прибыль</w:t>
            </w:r>
          </w:p>
        </w:tc>
        <w:tc>
          <w:tcPr>
            <w:cnfStyle w:val="000000010000"/>
            <w:tcW w:w="1312" w:type="dxa"/>
          </w:tcPr>
          <w:p w14:paraId="0000056F">
            <w:pPr>
              <w:jc w:val="center"/>
              <w:rPr>
                <w:rFonts w:ascii="Times New Roman" w:cs="Times New Roman" w:hAnsi="Times New Roman"/>
                <w:sz w:val="24"/>
                <w:szCs w:val="24"/>
              </w:rPr>
            </w:pPr>
            <w:r>
              <w:rPr>
                <w:rFonts w:ascii="Times New Roman" w:cs="Times New Roman" w:hAnsi="Times New Roman"/>
                <w:bCs/>
                <w:sz w:val="24"/>
                <w:szCs w:val="24"/>
              </w:rPr>
              <w:t>34,0</w:t>
            </w:r>
          </w:p>
        </w:tc>
        <w:tc>
          <w:tcPr>
            <w:cnfStyle w:val="000000010000"/>
            <w:tcW w:w="1226" w:type="dxa"/>
          </w:tcPr>
          <w:p w14:paraId="00000570">
            <w:pPr>
              <w:jc w:val="center"/>
              <w:rPr>
                <w:rFonts w:ascii="Times New Roman" w:cs="Times New Roman" w:hAnsi="Times New Roman"/>
                <w:sz w:val="24"/>
                <w:szCs w:val="24"/>
              </w:rPr>
            </w:pPr>
            <w:r>
              <w:rPr>
                <w:rFonts w:ascii="Times New Roman" w:cs="Times New Roman" w:hAnsi="Times New Roman"/>
                <w:bCs/>
                <w:sz w:val="24"/>
                <w:szCs w:val="24"/>
              </w:rPr>
              <w:t>57,8</w:t>
            </w:r>
          </w:p>
        </w:tc>
        <w:tc>
          <w:tcPr>
            <w:cnfStyle w:val="000000010000"/>
            <w:tcW w:w="1099" w:type="dxa"/>
          </w:tcPr>
          <w:p w14:paraId="00000571">
            <w:pPr>
              <w:jc w:val="center"/>
              <w:rPr>
                <w:rFonts w:ascii="Times New Roman" w:cs="Times New Roman" w:hAnsi="Times New Roman"/>
                <w:sz w:val="24"/>
                <w:szCs w:val="24"/>
              </w:rPr>
            </w:pPr>
            <w:r>
              <w:rPr>
                <w:rFonts w:ascii="Times New Roman" w:cs="Times New Roman" w:hAnsi="Times New Roman"/>
                <w:bCs/>
                <w:sz w:val="24"/>
                <w:szCs w:val="24"/>
              </w:rPr>
              <w:t>71,4</w:t>
            </w:r>
          </w:p>
        </w:tc>
        <w:tc>
          <w:tcPr>
            <w:cnfStyle w:val="000000010000"/>
            <w:tcW w:w="1101" w:type="dxa"/>
          </w:tcPr>
          <w:p w14:paraId="00000572">
            <w:pPr>
              <w:jc w:val="center"/>
              <w:rPr>
                <w:rFonts w:ascii="Times New Roman" w:cs="Times New Roman" w:hAnsi="Times New Roman"/>
                <w:sz w:val="24"/>
                <w:szCs w:val="24"/>
              </w:rPr>
            </w:pPr>
            <w:r>
              <w:rPr>
                <w:rFonts w:ascii="Times New Roman" w:cs="Times New Roman" w:hAnsi="Times New Roman"/>
                <w:bCs/>
                <w:sz w:val="24"/>
                <w:szCs w:val="24"/>
              </w:rPr>
              <w:t>80,7</w:t>
            </w:r>
          </w:p>
        </w:tc>
        <w:tc>
          <w:tcPr>
            <w:cnfStyle w:val="000000010000"/>
            <w:tcW w:w="1138" w:type="dxa"/>
          </w:tcPr>
          <w:p w14:paraId="00000573">
            <w:pPr>
              <w:jc w:val="center"/>
              <w:rPr>
                <w:rFonts w:ascii="Times New Roman" w:cs="Times New Roman" w:hAnsi="Times New Roman"/>
                <w:sz w:val="24"/>
                <w:szCs w:val="24"/>
              </w:rPr>
            </w:pPr>
            <w:r>
              <w:rPr>
                <w:rFonts w:ascii="Times New Roman" w:cs="Times New Roman" w:hAnsi="Times New Roman"/>
                <w:bCs/>
                <w:sz w:val="24"/>
                <w:szCs w:val="24"/>
              </w:rPr>
              <w:t>83,3</w:t>
            </w:r>
          </w:p>
        </w:tc>
      </w:tr>
      <w:tr>
        <w:trPr/>
        <w:tc>
          <w:tcPr>
            <w:cnfStyle w:val="001000100000"/>
            <w:tcW w:w="3522" w:type="dxa"/>
          </w:tcPr>
          <w:p w14:paraId="00000574">
            <w:pPr>
              <w:jc w:val="both"/>
              <w:rPr>
                <w:rFonts w:ascii="Times New Roman" w:cs="Times New Roman" w:hAnsi="Times New Roman"/>
                <w:sz w:val="24"/>
                <w:szCs w:val="24"/>
              </w:rPr>
            </w:pPr>
            <w:r>
              <w:rPr>
                <w:rFonts w:ascii="Times New Roman" w:cs="Times New Roman" w:hAnsi="Times New Roman"/>
                <w:sz w:val="24"/>
                <w:szCs w:val="24"/>
              </w:rPr>
              <w:t>Рентабельность по чистой прибыли, %</w:t>
            </w:r>
          </w:p>
        </w:tc>
        <w:tc>
          <w:tcPr>
            <w:cnfStyle w:val="000000100000"/>
            <w:tcW w:w="1312" w:type="dxa"/>
          </w:tcPr>
          <w:p w14:paraId="00000575">
            <w:pPr>
              <w:jc w:val="center"/>
              <w:rPr>
                <w:rFonts w:ascii="Times New Roman" w:cs="Times New Roman" w:hAnsi="Times New Roman"/>
                <w:sz w:val="24"/>
                <w:szCs w:val="24"/>
              </w:rPr>
            </w:pPr>
            <w:r>
              <w:rPr>
                <w:rFonts w:ascii="Times New Roman" w:cs="Times New Roman" w:hAnsi="Times New Roman"/>
                <w:sz w:val="24"/>
                <w:szCs w:val="24"/>
              </w:rPr>
              <w:t>20,2</w:t>
            </w:r>
          </w:p>
        </w:tc>
        <w:tc>
          <w:tcPr>
            <w:cnfStyle w:val="000000100000"/>
            <w:tcW w:w="1226" w:type="dxa"/>
          </w:tcPr>
          <w:p w14:paraId="00000576">
            <w:pPr>
              <w:jc w:val="center"/>
              <w:rPr>
                <w:rFonts w:ascii="Times New Roman" w:cs="Times New Roman" w:hAnsi="Times New Roman"/>
                <w:sz w:val="24"/>
                <w:szCs w:val="24"/>
              </w:rPr>
            </w:pPr>
            <w:r>
              <w:rPr>
                <w:rFonts w:ascii="Times New Roman" w:cs="Times New Roman" w:hAnsi="Times New Roman"/>
                <w:sz w:val="24"/>
                <w:szCs w:val="24"/>
              </w:rPr>
              <w:t>24,9</w:t>
            </w:r>
          </w:p>
        </w:tc>
        <w:tc>
          <w:tcPr>
            <w:cnfStyle w:val="000000100000"/>
            <w:tcW w:w="1099" w:type="dxa"/>
          </w:tcPr>
          <w:p w14:paraId="00000577">
            <w:pPr>
              <w:jc w:val="center"/>
              <w:rPr>
                <w:rFonts w:ascii="Times New Roman" w:cs="Times New Roman" w:hAnsi="Times New Roman"/>
                <w:sz w:val="24"/>
                <w:szCs w:val="24"/>
              </w:rPr>
            </w:pPr>
            <w:r>
              <w:rPr>
                <w:rFonts w:ascii="Times New Roman" w:cs="Times New Roman" w:hAnsi="Times New Roman"/>
                <w:sz w:val="24"/>
                <w:szCs w:val="24"/>
              </w:rPr>
              <w:t>26,4</w:t>
            </w:r>
          </w:p>
        </w:tc>
        <w:tc>
          <w:tcPr>
            <w:cnfStyle w:val="000000100000"/>
            <w:tcW w:w="1101" w:type="dxa"/>
          </w:tcPr>
          <w:p w14:paraId="00000578">
            <w:pPr>
              <w:jc w:val="center"/>
              <w:rPr>
                <w:rFonts w:ascii="Times New Roman" w:cs="Times New Roman" w:hAnsi="Times New Roman"/>
                <w:sz w:val="24"/>
                <w:szCs w:val="24"/>
              </w:rPr>
            </w:pPr>
            <w:r>
              <w:rPr>
                <w:rFonts w:ascii="Times New Roman" w:cs="Times New Roman" w:hAnsi="Times New Roman"/>
                <w:sz w:val="24"/>
                <w:szCs w:val="24"/>
              </w:rPr>
              <w:t>27,5</w:t>
            </w:r>
          </w:p>
        </w:tc>
        <w:tc>
          <w:tcPr>
            <w:cnfStyle w:val="000000100000"/>
            <w:tcW w:w="1138" w:type="dxa"/>
          </w:tcPr>
          <w:p w14:paraId="00000579">
            <w:pPr>
              <w:jc w:val="center"/>
              <w:rPr>
                <w:rFonts w:ascii="Times New Roman" w:cs="Times New Roman" w:hAnsi="Times New Roman"/>
                <w:sz w:val="24"/>
                <w:szCs w:val="24"/>
              </w:rPr>
            </w:pPr>
            <w:r>
              <w:rPr>
                <w:rFonts w:ascii="Times New Roman" w:cs="Times New Roman" w:hAnsi="Times New Roman"/>
                <w:sz w:val="24"/>
                <w:szCs w:val="24"/>
              </w:rPr>
              <w:t>27,4</w:t>
            </w:r>
          </w:p>
        </w:tc>
      </w:tr>
    </w:tbl>
    <w:p w14:paraId="0000057A">
      <w:pPr>
        <w:spacing w:beforeAutospacing="0" w:after="0" w:afterAutospacing="0" w:line="360" w:lineRule="auto"/>
        <w:ind w:firstLine="709"/>
        <w:jc w:val="both"/>
        <w:rPr>
          <w:rFonts w:ascii="Times New Roman" w:cs="Times New Roman" w:hAnsi="Times New Roman"/>
          <w:i/>
          <w:iCs/>
          <w:sz w:val="28"/>
          <w:szCs w:val="28"/>
        </w:rPr>
      </w:pPr>
    </w:p>
    <w:p w14:paraId="0000057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Предприятие выходит на чистую прибыль уже в первый год (34 млн руб.) даже при консервативных допущениях. К пятому году чистая прибыль достигает 83,3 млн руб. при выручке 304 млн руб. Рентабельность по чистой прибыли растёт с 20% до 27–28%, что является отличным показателем для производственного предприятия (средняя рентабельность в производстве стройматериалов – 10–15%). Такой высокий уровень рентабельности объясняется низкими логистическими издержками (локальное производство) и экономией на масштабе. Важно отметить, что в расчётах заложена консервативная цена (28 руб./шт. в первый год), тогда как рыночная цена гиперпрессованного кирпича в Пензенской области с учётом доставки составляет 33–45 руб./шт. Это даёт потенциал для увеличения цены и, соответственно, прибыли. Однако в бизнес-плане лучше ориентироваться на консервативные оценки.</w:t>
      </w:r>
    </w:p>
    <w:p w14:paraId="0000057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Расчёт точки безубыточности позволяет определить минимальный объём продаж, при котором предприятие покрывает все издержки, не имея прибыли, но и не неся убытков (рисунок 2).</w:t>
      </w:r>
    </w:p>
    <w:p w14:paraId="0000057D">
      <w:pPr>
        <w:spacing w:beforeAutospacing="0" w:after="0" w:afterAutospacing="0" w:line="360" w:lineRule="auto"/>
        <w:jc w:val="center"/>
        <w:rPr>
          <w:rFonts w:ascii="Times New Roman" w:cs="Times New Roman" w:hAnsi="Times New Roman"/>
          <w:sz w:val="28"/>
          <w:szCs w:val="28"/>
        </w:rPr>
      </w:pPr>
      <w:r>
        <w:rPr>
          <w:rFonts w:ascii="Times New Roman" w:cs="Times New Roman" w:hAnsi="Times New Roman"/>
          <w:sz w:val="28"/>
          <w:szCs w:val="28"/>
          <w:lang w:eastAsia="ru-RU"/>
        </w:rPr>
        <w:drawing xmlns:mc="http://schemas.openxmlformats.org/markup-compatibility/2006">
          <wp:inline distT="114300" distB="114300" distL="114300" distR="114300">
            <wp:extent cx="4502150" cy="2774315"/>
            <wp:effectExtent l="0" t="0" r="0" b="0"/>
            <wp:docPr id="20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75"/>
                    <pic:cNvPicPr>
                      <a:picLocks noChangeAspect="1"/>
                    </pic:cNvPicPr>
                  </pic:nvPicPr>
                  <pic:blipFill>
                    <a:blip r:embed="rId68"/>
                    <a:srcRect/>
                    <a:stretch>
                      <a:fillRect/>
                    </a:stretch>
                  </pic:blipFill>
                  <pic:spPr>
                    <a:xfrm>
                      <a:off x="0" y="0"/>
                      <a:ext cx="4502150" cy="2774315"/>
                    </a:xfrm>
                    <a:prstGeom prst="rect">
                      <a:avLst/>
                    </a:prstGeom>
                  </pic:spPr>
                </pic:pic>
              </a:graphicData>
            </a:graphic>
          </wp:inline>
        </w:drawing>
      </w:r>
    </w:p>
    <w:p w14:paraId="0000057E">
      <w:pPr>
        <w:spacing w:beforeAutospacing="0" w:after="0" w:afterAutospacing="0" w:line="360" w:lineRule="auto"/>
        <w:jc w:val="center"/>
        <w:rPr>
          <w:rFonts w:ascii="Times New Roman" w:cs="Times New Roman" w:hAnsi="Times New Roman"/>
          <w:sz w:val="28"/>
          <w:szCs w:val="28"/>
        </w:rPr>
      </w:pPr>
      <w:r>
        <w:rPr>
          <w:rFonts w:ascii="Times New Roman" w:cs="Times New Roman" w:hAnsi="Times New Roman"/>
          <w:sz w:val="28"/>
          <w:szCs w:val="28"/>
        </w:rPr>
        <w:t>Рисунок 2 – Расчёт точки безубыточности</w:t>
      </w:r>
    </w:p>
    <w:p w14:paraId="0000057F">
      <w:pPr>
        <w:spacing w:beforeAutospacing="0" w:after="0" w:afterAutospacing="0" w:line="240" w:lineRule="auto"/>
        <w:ind w:firstLine="709"/>
        <w:jc w:val="center"/>
        <w:rPr>
          <w:rFonts w:ascii="Times New Roman" w:cs="Times New Roman" w:hAnsi="Times New Roman"/>
          <w:sz w:val="28"/>
          <w:szCs w:val="28"/>
        </w:rPr>
      </w:pPr>
    </w:p>
    <w:p w14:paraId="0000058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Постоянные затраты в год (среднее за 5 лет) = 46 млн руб., п</w:t>
      </w:r>
      <w:r>
        <w:rPr>
          <w:rFonts w:ascii="Times New Roman" w:cs="Times New Roman" w:hAnsi="Times New Roman"/>
          <w:sz w:val="28"/>
          <w:szCs w:val="28"/>
        </w:rPr>
        <w:t>еременные затраты на 1 шт. (в первый год) = 15 руб., ц</w:t>
      </w:r>
      <w:r>
        <w:rPr>
          <w:rFonts w:ascii="Times New Roman" w:cs="Times New Roman" w:hAnsi="Times New Roman"/>
          <w:sz w:val="28"/>
          <w:szCs w:val="28"/>
        </w:rPr>
        <w:t>ена = 28 руб., м</w:t>
      </w:r>
      <w:r>
        <w:rPr>
          <w:rFonts w:ascii="Times New Roman" w:cs="Times New Roman" w:hAnsi="Times New Roman"/>
          <w:sz w:val="28"/>
          <w:szCs w:val="28"/>
        </w:rPr>
        <w:t>аржинальная прибыль на 1 шт. = 28 – 15 = 13 руб.</w:t>
      </w:r>
    </w:p>
    <w:p w14:paraId="0000058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Точка безубыточности в натуральном выражении</w:t>
      </w:r>
      <w:r>
        <w:rPr>
          <w:rFonts w:ascii="Times New Roman" w:cs="Times New Roman" w:hAnsi="Times New Roman"/>
          <w:sz w:val="28"/>
          <w:szCs w:val="28"/>
        </w:rPr>
        <w:t> = 46 000 000 / 13 = 3 538 462 шт. в год.</w:t>
      </w:r>
    </w:p>
    <w:p w14:paraId="0000058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Точка безубыточности в денежном выражении</w:t>
      </w:r>
      <w:r>
        <w:rPr>
          <w:rFonts w:ascii="Times New Roman" w:cs="Times New Roman" w:hAnsi="Times New Roman"/>
          <w:sz w:val="28"/>
          <w:szCs w:val="28"/>
        </w:rPr>
        <w:t> = 3 538 462 × 28 = 99 077 тыс. руб.</w:t>
      </w:r>
    </w:p>
    <w:p w14:paraId="0000058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Запас прочности при плане первого года</w:t>
      </w:r>
      <w:r>
        <w:rPr>
          <w:rFonts w:ascii="Times New Roman" w:cs="Times New Roman" w:hAnsi="Times New Roman"/>
          <w:sz w:val="28"/>
          <w:szCs w:val="28"/>
        </w:rPr>
        <w:t> (6 млн шт.):</w:t>
      </w:r>
      <w:r>
        <w:rPr>
          <w:rFonts w:ascii="Times New Roman" w:cs="Times New Roman" w:hAnsi="Times New Roman"/>
          <w:sz w:val="28"/>
          <w:szCs w:val="28"/>
        </w:rPr>
        <w:br w:type="textWrapping"/>
      </w:r>
      <w:r>
        <w:rPr>
          <w:rFonts w:ascii="Times New Roman" w:cs="Times New Roman" w:hAnsi="Times New Roman"/>
          <w:sz w:val="28"/>
          <w:szCs w:val="28"/>
        </w:rPr>
        <w:t>(6 000 000 – 3 538 462) / 6 000 000 = 41,0%.</w:t>
      </w:r>
    </w:p>
    <w:p w14:paraId="0000058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Запас прочности при плане второго года</w:t>
      </w:r>
      <w:r>
        <w:rPr>
          <w:rFonts w:ascii="Times New Roman" w:cs="Times New Roman" w:hAnsi="Times New Roman"/>
          <w:sz w:val="28"/>
          <w:szCs w:val="28"/>
        </w:rPr>
        <w:t> (8 млн шт.):</w:t>
      </w:r>
      <w:r>
        <w:rPr>
          <w:rFonts w:ascii="Times New Roman" w:cs="Times New Roman" w:hAnsi="Times New Roman"/>
          <w:sz w:val="28"/>
          <w:szCs w:val="28"/>
        </w:rPr>
        <w:br w:type="textWrapping"/>
      </w:r>
      <w:r>
        <w:rPr>
          <w:rFonts w:ascii="Times New Roman" w:cs="Times New Roman" w:hAnsi="Times New Roman"/>
          <w:sz w:val="28"/>
          <w:szCs w:val="28"/>
        </w:rPr>
        <w:t>(8 000 000 – 3 538 462) / 8 000 000 = 55,8%.</w:t>
      </w:r>
    </w:p>
    <w:p w14:paraId="0000058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Запас прочности при плане третьего года</w:t>
      </w:r>
      <w:r>
        <w:rPr>
          <w:rFonts w:ascii="Times New Roman" w:cs="Times New Roman" w:hAnsi="Times New Roman"/>
          <w:sz w:val="28"/>
          <w:szCs w:val="28"/>
        </w:rPr>
        <w:t> (9 млн шт.):</w:t>
      </w:r>
      <w:r>
        <w:rPr>
          <w:rFonts w:ascii="Times New Roman" w:cs="Times New Roman" w:hAnsi="Times New Roman"/>
          <w:sz w:val="28"/>
          <w:szCs w:val="28"/>
        </w:rPr>
        <w:br w:type="textWrapping"/>
      </w:r>
      <w:r>
        <w:rPr>
          <w:rFonts w:ascii="Times New Roman" w:cs="Times New Roman" w:hAnsi="Times New Roman"/>
          <w:sz w:val="28"/>
          <w:szCs w:val="28"/>
        </w:rPr>
        <w:t>(9 000 000 – 3 538 462) / 9 000 000 = 60,7%.</w:t>
      </w:r>
    </w:p>
    <w:p w14:paraId="0000058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Порог рентабельности достигается при загрузке мощностей около 35–40%. Даже в первый год, когда загрузка составляет 60%, запас прочности превышает 40%. Это означает, что предприятие может выдержать падение </w:t>
      </w:r>
      <w:r>
        <w:rPr>
          <w:rFonts w:ascii="Times New Roman" w:cs="Times New Roman" w:hAnsi="Times New Roman"/>
          <w:sz w:val="28"/>
          <w:szCs w:val="28"/>
        </w:rPr>
        <w:t>продаж на 40% без ухода в убыток – очень высокий уровень устойчивости для промышленного стартапа.</w:t>
      </w:r>
    </w:p>
    <w:p w14:paraId="0000058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Оценка эффективности инвестиционного проекта проводится с использованием дисконтированных показателей. Ставка дисконтирования принята в размере 15% – она учитывает безрисковую ставку (доходность ОФЗ – около 10%), инфляцию (6–7%) и премию за риск для производственного проекта (5–6%). Денежный поток = чистая прибыль + амортизация (амортизация первого года – 250 тыс. руб. × 12 = 3,0 млн руб., в последующие годы – с учётом дооборудования).</w:t>
      </w:r>
    </w:p>
    <w:p w14:paraId="00000588">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3.10 – Расчёт чистого дисконтированного дохода (NPV), млн руб</w:t>
      </w:r>
      <w:r>
        <w:rPr>
          <w:rFonts w:ascii="Times New Roman" w:cs="Times New Roman" w:hAnsi="Times New Roman"/>
          <w:b/>
          <w:bCs/>
          <w:sz w:val="28"/>
          <w:szCs w:val="28"/>
        </w:rPr>
        <w:t>.</w:t>
      </w:r>
    </w:p>
    <w:tbl>
      <w:tblPr>
        <w:tblStyle w:val="TableGrid"/>
        <w:tblW w:w="9377" w:type="dxa"/>
        <w:jc w:val="center"/>
        <w:tblLook w:val="04A0"/>
      </w:tblPr>
      <w:tblGrid>
        <w:gridCol w:w="782"/>
        <w:gridCol w:w="1359"/>
        <w:gridCol w:w="1032"/>
        <w:gridCol w:w="1470"/>
        <w:gridCol w:w="1215"/>
        <w:gridCol w:w="785"/>
        <w:gridCol w:w="1198"/>
        <w:gridCol w:w="1536"/>
      </w:tblGrid>
      <w:tr>
        <w:trPr>
          <w:jc w:val="center"/>
        </w:trPr>
        <w:tc>
          <w:tcPr>
            <w:cnfStyle w:val="101000000000"/>
            <w:tcW w:w="782" w:type="dxa"/>
          </w:tcPr>
          <w:p w14:paraId="00000589">
            <w:pPr>
              <w:jc w:val="center"/>
              <w:rPr>
                <w:rFonts w:ascii="Times New Roman" w:cs="Times New Roman" w:hAnsi="Times New Roman"/>
              </w:rPr>
            </w:pPr>
            <w:r>
              <w:rPr>
                <w:rFonts w:ascii="Times New Roman" w:cs="Times New Roman" w:hAnsi="Times New Roman"/>
              </w:rPr>
              <w:t>Год</w:t>
            </w:r>
          </w:p>
        </w:tc>
        <w:tc>
          <w:tcPr>
            <w:cnfStyle w:val="100000000000"/>
            <w:tcW w:w="1359" w:type="dxa"/>
          </w:tcPr>
          <w:p w14:paraId="0000058A">
            <w:pPr>
              <w:jc w:val="center"/>
              <w:rPr>
                <w:rFonts w:ascii="Times New Roman" w:cs="Times New Roman" w:hAnsi="Times New Roman"/>
              </w:rPr>
            </w:pPr>
            <w:r>
              <w:rPr>
                <w:rFonts w:ascii="Times New Roman" w:cs="Times New Roman" w:hAnsi="Times New Roman"/>
              </w:rPr>
              <w:t>Инвестиции</w:t>
            </w:r>
          </w:p>
        </w:tc>
        <w:tc>
          <w:tcPr>
            <w:cnfStyle w:val="100000000000"/>
            <w:tcW w:w="1032" w:type="dxa"/>
          </w:tcPr>
          <w:p w14:paraId="0000058B">
            <w:pPr>
              <w:jc w:val="center"/>
              <w:rPr>
                <w:rFonts w:ascii="Times New Roman" w:cs="Times New Roman" w:hAnsi="Times New Roman"/>
              </w:rPr>
            </w:pPr>
            <w:r>
              <w:rPr>
                <w:rFonts w:ascii="Times New Roman" w:cs="Times New Roman" w:hAnsi="Times New Roman"/>
              </w:rPr>
              <w:t>Чистая прибыль</w:t>
            </w:r>
          </w:p>
        </w:tc>
        <w:tc>
          <w:tcPr>
            <w:cnfStyle w:val="100000000000"/>
            <w:tcW w:w="1470" w:type="dxa"/>
          </w:tcPr>
          <w:p w14:paraId="0000058C">
            <w:pPr>
              <w:jc w:val="center"/>
              <w:rPr>
                <w:rFonts w:ascii="Times New Roman" w:cs="Times New Roman" w:hAnsi="Times New Roman"/>
              </w:rPr>
            </w:pPr>
            <w:r>
              <w:rPr>
                <w:rFonts w:ascii="Times New Roman" w:cs="Times New Roman" w:hAnsi="Times New Roman"/>
              </w:rPr>
              <w:t>Амортизация</w:t>
            </w:r>
          </w:p>
        </w:tc>
        <w:tc>
          <w:tcPr>
            <w:cnfStyle w:val="100000000000"/>
            <w:tcW w:w="1215" w:type="dxa"/>
          </w:tcPr>
          <w:p w14:paraId="0000058D">
            <w:pPr>
              <w:jc w:val="center"/>
              <w:rPr>
                <w:rFonts w:ascii="Times New Roman" w:cs="Times New Roman" w:hAnsi="Times New Roman"/>
              </w:rPr>
            </w:pPr>
            <w:r>
              <w:rPr>
                <w:rFonts w:ascii="Times New Roman" w:cs="Times New Roman" w:hAnsi="Times New Roman"/>
              </w:rPr>
              <w:t>Денежный поток</w:t>
            </w:r>
          </w:p>
        </w:tc>
        <w:tc>
          <w:tcPr>
            <w:cnfStyle w:val="100000000000"/>
            <w:tcW w:w="785" w:type="dxa"/>
          </w:tcPr>
          <w:p w14:paraId="0000058E">
            <w:pPr>
              <w:jc w:val="center"/>
              <w:rPr>
                <w:rFonts w:ascii="Times New Roman" w:cs="Times New Roman" w:hAnsi="Times New Roman"/>
              </w:rPr>
            </w:pPr>
            <w:r>
              <w:rPr>
                <w:rFonts w:ascii="Times New Roman" w:cs="Times New Roman" w:hAnsi="Times New Roman"/>
              </w:rPr>
              <w:t>Коэф. диск. 15%</w:t>
            </w:r>
          </w:p>
        </w:tc>
        <w:tc>
          <w:tcPr>
            <w:cnfStyle w:val="100000000000"/>
            <w:tcW w:w="1198" w:type="dxa"/>
          </w:tcPr>
          <w:p w14:paraId="0000058F">
            <w:pPr>
              <w:jc w:val="center"/>
              <w:rPr>
                <w:rFonts w:ascii="Times New Roman" w:cs="Times New Roman" w:hAnsi="Times New Roman"/>
              </w:rPr>
            </w:pPr>
            <w:r>
              <w:rPr>
                <w:rFonts w:ascii="Times New Roman" w:cs="Times New Roman" w:hAnsi="Times New Roman"/>
              </w:rPr>
              <w:t>Диск. денежный поток</w:t>
            </w:r>
          </w:p>
        </w:tc>
        <w:tc>
          <w:tcPr>
            <w:cnfStyle w:val="100000000000"/>
            <w:tcW w:w="1536" w:type="dxa"/>
          </w:tcPr>
          <w:p w14:paraId="00000590">
            <w:pPr>
              <w:jc w:val="center"/>
              <w:rPr>
                <w:rFonts w:ascii="Times New Roman" w:cs="Times New Roman" w:hAnsi="Times New Roman"/>
              </w:rPr>
            </w:pPr>
            <w:r>
              <w:rPr>
                <w:rFonts w:ascii="Times New Roman" w:cs="Times New Roman" w:hAnsi="Times New Roman"/>
              </w:rPr>
              <w:t>Накопленный диск. поток</w:t>
            </w:r>
          </w:p>
        </w:tc>
      </w:tr>
      <w:tr>
        <w:trPr>
          <w:jc w:val="center"/>
        </w:trPr>
        <w:tc>
          <w:tcPr>
            <w:cnfStyle w:val="001000100000"/>
            <w:tcW w:w="782" w:type="dxa"/>
          </w:tcPr>
          <w:p w14:paraId="00000591">
            <w:pPr>
              <w:jc w:val="center"/>
              <w:rPr>
                <w:rFonts w:ascii="Times New Roman" w:cs="Times New Roman" w:hAnsi="Times New Roman"/>
              </w:rPr>
            </w:pPr>
            <w:r>
              <w:rPr>
                <w:rFonts w:ascii="Times New Roman" w:cs="Times New Roman" w:hAnsi="Times New Roman"/>
              </w:rPr>
              <w:t>0</w:t>
            </w:r>
          </w:p>
        </w:tc>
        <w:tc>
          <w:tcPr>
            <w:cnfStyle w:val="000000100000"/>
            <w:tcW w:w="1359" w:type="dxa"/>
          </w:tcPr>
          <w:p w14:paraId="00000592">
            <w:pPr>
              <w:jc w:val="center"/>
              <w:rPr>
                <w:rFonts w:ascii="Times New Roman" w:cs="Times New Roman" w:hAnsi="Times New Roman"/>
              </w:rPr>
            </w:pPr>
            <w:r>
              <w:rPr>
                <w:rFonts w:ascii="Times New Roman" w:cs="Times New Roman" w:hAnsi="Times New Roman"/>
              </w:rPr>
              <w:t>87,0</w:t>
            </w:r>
          </w:p>
        </w:tc>
        <w:tc>
          <w:tcPr>
            <w:cnfStyle w:val="000000100000"/>
            <w:tcW w:w="1032" w:type="dxa"/>
          </w:tcPr>
          <w:p w14:paraId="00000593">
            <w:pPr>
              <w:jc w:val="center"/>
              <w:rPr>
                <w:rFonts w:ascii="Times New Roman" w:cs="Times New Roman" w:hAnsi="Times New Roman"/>
              </w:rPr>
            </w:pPr>
            <w:r>
              <w:rPr>
                <w:rFonts w:ascii="Times New Roman" w:cs="Times New Roman" w:hAnsi="Times New Roman"/>
              </w:rPr>
              <w:t>–</w:t>
            </w:r>
          </w:p>
        </w:tc>
        <w:tc>
          <w:tcPr>
            <w:cnfStyle w:val="000000100000"/>
            <w:tcW w:w="1470" w:type="dxa"/>
          </w:tcPr>
          <w:p w14:paraId="00000594">
            <w:pPr>
              <w:jc w:val="center"/>
              <w:rPr>
                <w:rFonts w:ascii="Times New Roman" w:cs="Times New Roman" w:hAnsi="Times New Roman"/>
              </w:rPr>
            </w:pPr>
            <w:r>
              <w:rPr>
                <w:rFonts w:ascii="Times New Roman" w:cs="Times New Roman" w:hAnsi="Times New Roman"/>
              </w:rPr>
              <w:t>–</w:t>
            </w:r>
          </w:p>
        </w:tc>
        <w:tc>
          <w:tcPr>
            <w:cnfStyle w:val="000000100000"/>
            <w:tcW w:w="1215" w:type="dxa"/>
          </w:tcPr>
          <w:p w14:paraId="00000595">
            <w:pPr>
              <w:jc w:val="center"/>
              <w:rPr>
                <w:rFonts w:ascii="Times New Roman" w:cs="Times New Roman" w:hAnsi="Times New Roman"/>
              </w:rPr>
            </w:pPr>
            <w:r>
              <w:rPr>
                <w:rFonts w:ascii="Times New Roman" w:cs="Times New Roman" w:hAnsi="Times New Roman"/>
              </w:rPr>
              <w:t>–87,0</w:t>
            </w:r>
          </w:p>
        </w:tc>
        <w:tc>
          <w:tcPr>
            <w:cnfStyle w:val="000000100000"/>
            <w:tcW w:w="785" w:type="dxa"/>
          </w:tcPr>
          <w:p w14:paraId="00000596">
            <w:pPr>
              <w:jc w:val="center"/>
              <w:rPr>
                <w:rFonts w:ascii="Times New Roman" w:cs="Times New Roman" w:hAnsi="Times New Roman"/>
              </w:rPr>
            </w:pPr>
            <w:r>
              <w:rPr>
                <w:rFonts w:ascii="Times New Roman" w:cs="Times New Roman" w:hAnsi="Times New Roman"/>
              </w:rPr>
              <w:t>1,000</w:t>
            </w:r>
          </w:p>
        </w:tc>
        <w:tc>
          <w:tcPr>
            <w:cnfStyle w:val="000000100000"/>
            <w:tcW w:w="1198" w:type="dxa"/>
          </w:tcPr>
          <w:p w14:paraId="00000597">
            <w:pPr>
              <w:jc w:val="center"/>
              <w:rPr>
                <w:rFonts w:ascii="Times New Roman" w:cs="Times New Roman" w:hAnsi="Times New Roman"/>
              </w:rPr>
            </w:pPr>
            <w:r>
              <w:rPr>
                <w:rFonts w:ascii="Times New Roman" w:cs="Times New Roman" w:hAnsi="Times New Roman"/>
              </w:rPr>
              <w:t>–87,0</w:t>
            </w:r>
          </w:p>
        </w:tc>
        <w:tc>
          <w:tcPr>
            <w:cnfStyle w:val="000000100000"/>
            <w:tcW w:w="1536" w:type="dxa"/>
          </w:tcPr>
          <w:p w14:paraId="00000598">
            <w:pPr>
              <w:jc w:val="center"/>
              <w:rPr>
                <w:rFonts w:ascii="Times New Roman" w:cs="Times New Roman" w:hAnsi="Times New Roman"/>
              </w:rPr>
            </w:pPr>
            <w:r>
              <w:rPr>
                <w:rFonts w:ascii="Times New Roman" w:cs="Times New Roman" w:hAnsi="Times New Roman"/>
              </w:rPr>
              <w:t>–87,0</w:t>
            </w:r>
          </w:p>
        </w:tc>
      </w:tr>
      <w:tr>
        <w:trPr>
          <w:jc w:val="center"/>
        </w:trPr>
        <w:tc>
          <w:tcPr>
            <w:cnfStyle w:val="001000010000"/>
            <w:tcW w:w="782" w:type="dxa"/>
          </w:tcPr>
          <w:p w14:paraId="00000599">
            <w:pPr>
              <w:jc w:val="center"/>
              <w:rPr>
                <w:rFonts w:ascii="Times New Roman" w:cs="Times New Roman" w:hAnsi="Times New Roman"/>
              </w:rPr>
            </w:pPr>
            <w:r>
              <w:rPr>
                <w:rFonts w:ascii="Times New Roman" w:cs="Times New Roman" w:hAnsi="Times New Roman"/>
              </w:rPr>
              <w:t>1</w:t>
            </w:r>
          </w:p>
        </w:tc>
        <w:tc>
          <w:tcPr>
            <w:cnfStyle w:val="000000010000"/>
            <w:tcW w:w="1359" w:type="dxa"/>
          </w:tcPr>
          <w:p w14:paraId="0000059A">
            <w:pPr>
              <w:jc w:val="center"/>
              <w:rPr>
                <w:rFonts w:ascii="Times New Roman" w:cs="Times New Roman" w:hAnsi="Times New Roman"/>
              </w:rPr>
            </w:pPr>
            <w:r>
              <w:rPr>
                <w:rFonts w:ascii="Times New Roman" w:cs="Times New Roman" w:hAnsi="Times New Roman"/>
              </w:rPr>
              <w:t>–</w:t>
            </w:r>
          </w:p>
        </w:tc>
        <w:tc>
          <w:tcPr>
            <w:cnfStyle w:val="000000010000"/>
            <w:tcW w:w="1032" w:type="dxa"/>
          </w:tcPr>
          <w:p w14:paraId="0000059B">
            <w:pPr>
              <w:jc w:val="center"/>
              <w:rPr>
                <w:rFonts w:ascii="Times New Roman" w:cs="Times New Roman" w:hAnsi="Times New Roman"/>
              </w:rPr>
            </w:pPr>
            <w:r>
              <w:rPr>
                <w:rFonts w:ascii="Times New Roman" w:cs="Times New Roman" w:hAnsi="Times New Roman"/>
              </w:rPr>
              <w:t>34,0</w:t>
            </w:r>
          </w:p>
        </w:tc>
        <w:tc>
          <w:tcPr>
            <w:cnfStyle w:val="000000010000"/>
            <w:tcW w:w="1470" w:type="dxa"/>
          </w:tcPr>
          <w:p w14:paraId="0000059C">
            <w:pPr>
              <w:jc w:val="center"/>
              <w:rPr>
                <w:rFonts w:ascii="Times New Roman" w:cs="Times New Roman" w:hAnsi="Times New Roman"/>
              </w:rPr>
            </w:pPr>
            <w:r>
              <w:rPr>
                <w:rFonts w:ascii="Times New Roman" w:cs="Times New Roman" w:hAnsi="Times New Roman"/>
              </w:rPr>
              <w:t>3,0</w:t>
            </w:r>
          </w:p>
        </w:tc>
        <w:tc>
          <w:tcPr>
            <w:cnfStyle w:val="000000010000"/>
            <w:tcW w:w="1215" w:type="dxa"/>
          </w:tcPr>
          <w:p w14:paraId="0000059D">
            <w:pPr>
              <w:jc w:val="center"/>
              <w:rPr>
                <w:rFonts w:ascii="Times New Roman" w:cs="Times New Roman" w:hAnsi="Times New Roman"/>
              </w:rPr>
            </w:pPr>
            <w:r>
              <w:rPr>
                <w:rFonts w:ascii="Times New Roman" w:cs="Times New Roman" w:hAnsi="Times New Roman"/>
              </w:rPr>
              <w:t>37,0</w:t>
            </w:r>
          </w:p>
        </w:tc>
        <w:tc>
          <w:tcPr>
            <w:cnfStyle w:val="000000010000"/>
            <w:tcW w:w="785" w:type="dxa"/>
          </w:tcPr>
          <w:p w14:paraId="0000059E">
            <w:pPr>
              <w:jc w:val="center"/>
              <w:rPr>
                <w:rFonts w:ascii="Times New Roman" w:cs="Times New Roman" w:hAnsi="Times New Roman"/>
              </w:rPr>
            </w:pPr>
            <w:r>
              <w:rPr>
                <w:rFonts w:ascii="Times New Roman" w:cs="Times New Roman" w:hAnsi="Times New Roman"/>
              </w:rPr>
              <w:t>0,870</w:t>
            </w:r>
          </w:p>
        </w:tc>
        <w:tc>
          <w:tcPr>
            <w:cnfStyle w:val="000000010000"/>
            <w:tcW w:w="1198" w:type="dxa"/>
          </w:tcPr>
          <w:p w14:paraId="0000059F">
            <w:pPr>
              <w:jc w:val="center"/>
              <w:rPr>
                <w:rFonts w:ascii="Times New Roman" w:cs="Times New Roman" w:hAnsi="Times New Roman"/>
              </w:rPr>
            </w:pPr>
            <w:r>
              <w:rPr>
                <w:rFonts w:ascii="Times New Roman" w:cs="Times New Roman" w:hAnsi="Times New Roman"/>
              </w:rPr>
              <w:t>32,2</w:t>
            </w:r>
          </w:p>
        </w:tc>
        <w:tc>
          <w:tcPr>
            <w:cnfStyle w:val="000000010000"/>
            <w:tcW w:w="1536" w:type="dxa"/>
          </w:tcPr>
          <w:p w14:paraId="000005A0">
            <w:pPr>
              <w:jc w:val="center"/>
              <w:rPr>
                <w:rFonts w:ascii="Times New Roman" w:cs="Times New Roman" w:hAnsi="Times New Roman"/>
              </w:rPr>
            </w:pPr>
            <w:r>
              <w:rPr>
                <w:rFonts w:ascii="Times New Roman" w:cs="Times New Roman" w:hAnsi="Times New Roman"/>
              </w:rPr>
              <w:t>–54,8</w:t>
            </w:r>
          </w:p>
        </w:tc>
      </w:tr>
      <w:tr>
        <w:trPr>
          <w:jc w:val="center"/>
        </w:trPr>
        <w:tc>
          <w:tcPr>
            <w:cnfStyle w:val="001000100000"/>
            <w:tcW w:w="782" w:type="dxa"/>
          </w:tcPr>
          <w:p w14:paraId="000005A1">
            <w:pPr>
              <w:jc w:val="center"/>
              <w:rPr>
                <w:rFonts w:ascii="Times New Roman" w:cs="Times New Roman" w:hAnsi="Times New Roman"/>
              </w:rPr>
            </w:pPr>
            <w:r>
              <w:rPr>
                <w:rFonts w:ascii="Times New Roman" w:cs="Times New Roman" w:hAnsi="Times New Roman"/>
              </w:rPr>
              <w:t>2</w:t>
            </w:r>
          </w:p>
        </w:tc>
        <w:tc>
          <w:tcPr>
            <w:cnfStyle w:val="000000100000"/>
            <w:tcW w:w="1359" w:type="dxa"/>
          </w:tcPr>
          <w:p w14:paraId="000005A2">
            <w:pPr>
              <w:jc w:val="center"/>
              <w:rPr>
                <w:rFonts w:ascii="Times New Roman" w:cs="Times New Roman" w:hAnsi="Times New Roman"/>
              </w:rPr>
            </w:pPr>
            <w:r>
              <w:rPr>
                <w:rFonts w:ascii="Times New Roman" w:cs="Times New Roman" w:hAnsi="Times New Roman"/>
              </w:rPr>
              <w:t>–</w:t>
            </w:r>
          </w:p>
        </w:tc>
        <w:tc>
          <w:tcPr>
            <w:cnfStyle w:val="000000100000"/>
            <w:tcW w:w="1032" w:type="dxa"/>
          </w:tcPr>
          <w:p w14:paraId="000005A3">
            <w:pPr>
              <w:jc w:val="center"/>
              <w:rPr>
                <w:rFonts w:ascii="Times New Roman" w:cs="Times New Roman" w:hAnsi="Times New Roman"/>
              </w:rPr>
            </w:pPr>
            <w:r>
              <w:rPr>
                <w:rFonts w:ascii="Times New Roman" w:cs="Times New Roman" w:hAnsi="Times New Roman"/>
              </w:rPr>
              <w:t>57,8</w:t>
            </w:r>
          </w:p>
        </w:tc>
        <w:tc>
          <w:tcPr>
            <w:cnfStyle w:val="000000100000"/>
            <w:tcW w:w="1470" w:type="dxa"/>
          </w:tcPr>
          <w:p w14:paraId="000005A4">
            <w:pPr>
              <w:jc w:val="center"/>
              <w:rPr>
                <w:rFonts w:ascii="Times New Roman" w:cs="Times New Roman" w:hAnsi="Times New Roman"/>
              </w:rPr>
            </w:pPr>
            <w:r>
              <w:rPr>
                <w:rFonts w:ascii="Times New Roman" w:cs="Times New Roman" w:hAnsi="Times New Roman"/>
              </w:rPr>
              <w:t>3,2</w:t>
            </w:r>
          </w:p>
        </w:tc>
        <w:tc>
          <w:tcPr>
            <w:cnfStyle w:val="000000100000"/>
            <w:tcW w:w="1215" w:type="dxa"/>
          </w:tcPr>
          <w:p w14:paraId="000005A5">
            <w:pPr>
              <w:jc w:val="center"/>
              <w:rPr>
                <w:rFonts w:ascii="Times New Roman" w:cs="Times New Roman" w:hAnsi="Times New Roman"/>
              </w:rPr>
            </w:pPr>
            <w:r>
              <w:rPr>
                <w:rFonts w:ascii="Times New Roman" w:cs="Times New Roman" w:hAnsi="Times New Roman"/>
              </w:rPr>
              <w:t>61,0</w:t>
            </w:r>
          </w:p>
        </w:tc>
        <w:tc>
          <w:tcPr>
            <w:cnfStyle w:val="000000100000"/>
            <w:tcW w:w="785" w:type="dxa"/>
          </w:tcPr>
          <w:p w14:paraId="000005A6">
            <w:pPr>
              <w:jc w:val="center"/>
              <w:rPr>
                <w:rFonts w:ascii="Times New Roman" w:cs="Times New Roman" w:hAnsi="Times New Roman"/>
              </w:rPr>
            </w:pPr>
            <w:r>
              <w:rPr>
                <w:rFonts w:ascii="Times New Roman" w:cs="Times New Roman" w:hAnsi="Times New Roman"/>
              </w:rPr>
              <w:t>0,756</w:t>
            </w:r>
          </w:p>
        </w:tc>
        <w:tc>
          <w:tcPr>
            <w:cnfStyle w:val="000000100000"/>
            <w:tcW w:w="1198" w:type="dxa"/>
          </w:tcPr>
          <w:p w14:paraId="000005A7">
            <w:pPr>
              <w:jc w:val="center"/>
              <w:rPr>
                <w:rFonts w:ascii="Times New Roman" w:cs="Times New Roman" w:hAnsi="Times New Roman"/>
              </w:rPr>
            </w:pPr>
            <w:r>
              <w:rPr>
                <w:rFonts w:ascii="Times New Roman" w:cs="Times New Roman" w:hAnsi="Times New Roman"/>
              </w:rPr>
              <w:t>46,1</w:t>
            </w:r>
          </w:p>
        </w:tc>
        <w:tc>
          <w:tcPr>
            <w:cnfStyle w:val="000000100000"/>
            <w:tcW w:w="1536" w:type="dxa"/>
          </w:tcPr>
          <w:p w14:paraId="000005A8">
            <w:pPr>
              <w:jc w:val="center"/>
              <w:rPr>
                <w:rFonts w:ascii="Times New Roman" w:cs="Times New Roman" w:hAnsi="Times New Roman"/>
              </w:rPr>
            </w:pPr>
            <w:r>
              <w:rPr>
                <w:rFonts w:ascii="Times New Roman" w:cs="Times New Roman" w:hAnsi="Times New Roman"/>
              </w:rPr>
              <w:t>–8,7</w:t>
            </w:r>
          </w:p>
        </w:tc>
      </w:tr>
      <w:tr>
        <w:trPr>
          <w:jc w:val="center"/>
        </w:trPr>
        <w:tc>
          <w:tcPr>
            <w:cnfStyle w:val="001000010000"/>
            <w:tcW w:w="782" w:type="dxa"/>
          </w:tcPr>
          <w:p w14:paraId="000005A9">
            <w:pPr>
              <w:jc w:val="center"/>
              <w:rPr>
                <w:rFonts w:ascii="Times New Roman" w:cs="Times New Roman" w:hAnsi="Times New Roman"/>
              </w:rPr>
            </w:pPr>
            <w:r>
              <w:rPr>
                <w:rFonts w:ascii="Times New Roman" w:cs="Times New Roman" w:hAnsi="Times New Roman"/>
              </w:rPr>
              <w:t>3</w:t>
            </w:r>
          </w:p>
        </w:tc>
        <w:tc>
          <w:tcPr>
            <w:cnfStyle w:val="000000010000"/>
            <w:tcW w:w="1359" w:type="dxa"/>
          </w:tcPr>
          <w:p w14:paraId="000005AA">
            <w:pPr>
              <w:jc w:val="center"/>
              <w:rPr>
                <w:rFonts w:ascii="Times New Roman" w:cs="Times New Roman" w:hAnsi="Times New Roman"/>
              </w:rPr>
            </w:pPr>
            <w:r>
              <w:rPr>
                <w:rFonts w:ascii="Times New Roman" w:cs="Times New Roman" w:hAnsi="Times New Roman"/>
              </w:rPr>
              <w:t>–</w:t>
            </w:r>
          </w:p>
        </w:tc>
        <w:tc>
          <w:tcPr>
            <w:cnfStyle w:val="000000010000"/>
            <w:tcW w:w="1032" w:type="dxa"/>
          </w:tcPr>
          <w:p w14:paraId="000005AB">
            <w:pPr>
              <w:jc w:val="center"/>
              <w:rPr>
                <w:rFonts w:ascii="Times New Roman" w:cs="Times New Roman" w:hAnsi="Times New Roman"/>
              </w:rPr>
            </w:pPr>
            <w:r>
              <w:rPr>
                <w:rFonts w:ascii="Times New Roman" w:cs="Times New Roman" w:hAnsi="Times New Roman"/>
              </w:rPr>
              <w:t>71,4</w:t>
            </w:r>
          </w:p>
        </w:tc>
        <w:tc>
          <w:tcPr>
            <w:cnfStyle w:val="000000010000"/>
            <w:tcW w:w="1470" w:type="dxa"/>
          </w:tcPr>
          <w:p w14:paraId="000005AC">
            <w:pPr>
              <w:jc w:val="center"/>
              <w:rPr>
                <w:rFonts w:ascii="Times New Roman" w:cs="Times New Roman" w:hAnsi="Times New Roman"/>
              </w:rPr>
            </w:pPr>
            <w:r>
              <w:rPr>
                <w:rFonts w:ascii="Times New Roman" w:cs="Times New Roman" w:hAnsi="Times New Roman"/>
              </w:rPr>
              <w:t>3,3</w:t>
            </w:r>
          </w:p>
        </w:tc>
        <w:tc>
          <w:tcPr>
            <w:cnfStyle w:val="000000010000"/>
            <w:tcW w:w="1215" w:type="dxa"/>
          </w:tcPr>
          <w:p w14:paraId="000005AD">
            <w:pPr>
              <w:jc w:val="center"/>
              <w:rPr>
                <w:rFonts w:ascii="Times New Roman" w:cs="Times New Roman" w:hAnsi="Times New Roman"/>
              </w:rPr>
            </w:pPr>
            <w:r>
              <w:rPr>
                <w:rFonts w:ascii="Times New Roman" w:cs="Times New Roman" w:hAnsi="Times New Roman"/>
              </w:rPr>
              <w:t>74,7</w:t>
            </w:r>
          </w:p>
        </w:tc>
        <w:tc>
          <w:tcPr>
            <w:cnfStyle w:val="000000010000"/>
            <w:tcW w:w="785" w:type="dxa"/>
          </w:tcPr>
          <w:p w14:paraId="000005AE">
            <w:pPr>
              <w:jc w:val="center"/>
              <w:rPr>
                <w:rFonts w:ascii="Times New Roman" w:cs="Times New Roman" w:hAnsi="Times New Roman"/>
              </w:rPr>
            </w:pPr>
            <w:r>
              <w:rPr>
                <w:rFonts w:ascii="Times New Roman" w:cs="Times New Roman" w:hAnsi="Times New Roman"/>
              </w:rPr>
              <w:t>0,658</w:t>
            </w:r>
          </w:p>
        </w:tc>
        <w:tc>
          <w:tcPr>
            <w:cnfStyle w:val="000000010000"/>
            <w:tcW w:w="1198" w:type="dxa"/>
          </w:tcPr>
          <w:p w14:paraId="000005AF">
            <w:pPr>
              <w:jc w:val="center"/>
              <w:rPr>
                <w:rFonts w:ascii="Times New Roman" w:cs="Times New Roman" w:hAnsi="Times New Roman"/>
              </w:rPr>
            </w:pPr>
            <w:r>
              <w:rPr>
                <w:rFonts w:ascii="Times New Roman" w:cs="Times New Roman" w:hAnsi="Times New Roman"/>
              </w:rPr>
              <w:t>49,1</w:t>
            </w:r>
          </w:p>
        </w:tc>
        <w:tc>
          <w:tcPr>
            <w:cnfStyle w:val="000000010000"/>
            <w:tcW w:w="1536" w:type="dxa"/>
          </w:tcPr>
          <w:p w14:paraId="000005B0">
            <w:pPr>
              <w:jc w:val="center"/>
              <w:rPr>
                <w:rFonts w:ascii="Times New Roman" w:cs="Times New Roman" w:hAnsi="Times New Roman"/>
              </w:rPr>
            </w:pPr>
            <w:r>
              <w:rPr>
                <w:rFonts w:ascii="Times New Roman" w:cs="Times New Roman" w:hAnsi="Times New Roman"/>
              </w:rPr>
              <w:t>40,4</w:t>
            </w:r>
          </w:p>
        </w:tc>
      </w:tr>
      <w:tr>
        <w:trPr>
          <w:jc w:val="center"/>
        </w:trPr>
        <w:tc>
          <w:tcPr>
            <w:cnfStyle w:val="001000100000"/>
            <w:tcW w:w="782" w:type="dxa"/>
          </w:tcPr>
          <w:p w14:paraId="000005B1">
            <w:pPr>
              <w:jc w:val="center"/>
              <w:rPr>
                <w:rFonts w:ascii="Times New Roman" w:cs="Times New Roman" w:hAnsi="Times New Roman"/>
              </w:rPr>
            </w:pPr>
            <w:r>
              <w:rPr>
                <w:rFonts w:ascii="Times New Roman" w:cs="Times New Roman" w:hAnsi="Times New Roman"/>
              </w:rPr>
              <w:t>4</w:t>
            </w:r>
          </w:p>
        </w:tc>
        <w:tc>
          <w:tcPr>
            <w:cnfStyle w:val="000000100000"/>
            <w:tcW w:w="1359" w:type="dxa"/>
          </w:tcPr>
          <w:p w14:paraId="000005B2">
            <w:pPr>
              <w:jc w:val="center"/>
              <w:rPr>
                <w:rFonts w:ascii="Times New Roman" w:cs="Times New Roman" w:hAnsi="Times New Roman"/>
              </w:rPr>
            </w:pPr>
            <w:r>
              <w:rPr>
                <w:rFonts w:ascii="Times New Roman" w:cs="Times New Roman" w:hAnsi="Times New Roman"/>
              </w:rPr>
              <w:t>–</w:t>
            </w:r>
          </w:p>
        </w:tc>
        <w:tc>
          <w:tcPr>
            <w:cnfStyle w:val="000000100000"/>
            <w:tcW w:w="1032" w:type="dxa"/>
          </w:tcPr>
          <w:p w14:paraId="000005B3">
            <w:pPr>
              <w:jc w:val="center"/>
              <w:rPr>
                <w:rFonts w:ascii="Times New Roman" w:cs="Times New Roman" w:hAnsi="Times New Roman"/>
              </w:rPr>
            </w:pPr>
            <w:r>
              <w:rPr>
                <w:rFonts w:ascii="Times New Roman" w:cs="Times New Roman" w:hAnsi="Times New Roman"/>
              </w:rPr>
              <w:t>80,7</w:t>
            </w:r>
          </w:p>
        </w:tc>
        <w:tc>
          <w:tcPr>
            <w:cnfStyle w:val="000000100000"/>
            <w:tcW w:w="1470" w:type="dxa"/>
          </w:tcPr>
          <w:p w14:paraId="000005B4">
            <w:pPr>
              <w:jc w:val="center"/>
              <w:rPr>
                <w:rFonts w:ascii="Times New Roman" w:cs="Times New Roman" w:hAnsi="Times New Roman"/>
              </w:rPr>
            </w:pPr>
            <w:r>
              <w:rPr>
                <w:rFonts w:ascii="Times New Roman" w:cs="Times New Roman" w:hAnsi="Times New Roman"/>
              </w:rPr>
              <w:t>3,4</w:t>
            </w:r>
          </w:p>
        </w:tc>
        <w:tc>
          <w:tcPr>
            <w:cnfStyle w:val="000000100000"/>
            <w:tcW w:w="1215" w:type="dxa"/>
          </w:tcPr>
          <w:p w14:paraId="000005B5">
            <w:pPr>
              <w:jc w:val="center"/>
              <w:rPr>
                <w:rFonts w:ascii="Times New Roman" w:cs="Times New Roman" w:hAnsi="Times New Roman"/>
              </w:rPr>
            </w:pPr>
            <w:r>
              <w:rPr>
                <w:rFonts w:ascii="Times New Roman" w:cs="Times New Roman" w:hAnsi="Times New Roman"/>
              </w:rPr>
              <w:t>84,1</w:t>
            </w:r>
          </w:p>
        </w:tc>
        <w:tc>
          <w:tcPr>
            <w:cnfStyle w:val="000000100000"/>
            <w:tcW w:w="785" w:type="dxa"/>
          </w:tcPr>
          <w:p w14:paraId="000005B6">
            <w:pPr>
              <w:jc w:val="center"/>
              <w:rPr>
                <w:rFonts w:ascii="Times New Roman" w:cs="Times New Roman" w:hAnsi="Times New Roman"/>
              </w:rPr>
            </w:pPr>
            <w:r>
              <w:rPr>
                <w:rFonts w:ascii="Times New Roman" w:cs="Times New Roman" w:hAnsi="Times New Roman"/>
              </w:rPr>
              <w:t>0,572</w:t>
            </w:r>
          </w:p>
        </w:tc>
        <w:tc>
          <w:tcPr>
            <w:cnfStyle w:val="000000100000"/>
            <w:tcW w:w="1198" w:type="dxa"/>
          </w:tcPr>
          <w:p w14:paraId="000005B7">
            <w:pPr>
              <w:jc w:val="center"/>
              <w:rPr>
                <w:rFonts w:ascii="Times New Roman" w:cs="Times New Roman" w:hAnsi="Times New Roman"/>
              </w:rPr>
            </w:pPr>
            <w:r>
              <w:rPr>
                <w:rFonts w:ascii="Times New Roman" w:cs="Times New Roman" w:hAnsi="Times New Roman"/>
              </w:rPr>
              <w:t>48,1</w:t>
            </w:r>
          </w:p>
        </w:tc>
        <w:tc>
          <w:tcPr>
            <w:cnfStyle w:val="000000100000"/>
            <w:tcW w:w="1536" w:type="dxa"/>
          </w:tcPr>
          <w:p w14:paraId="000005B8">
            <w:pPr>
              <w:jc w:val="center"/>
              <w:rPr>
                <w:rFonts w:ascii="Times New Roman" w:cs="Times New Roman" w:hAnsi="Times New Roman"/>
              </w:rPr>
            </w:pPr>
            <w:r>
              <w:rPr>
                <w:rFonts w:ascii="Times New Roman" w:cs="Times New Roman" w:hAnsi="Times New Roman"/>
              </w:rPr>
              <w:t>88,5</w:t>
            </w:r>
          </w:p>
        </w:tc>
      </w:tr>
      <w:tr>
        <w:trPr>
          <w:jc w:val="center"/>
        </w:trPr>
        <w:tc>
          <w:tcPr>
            <w:cnfStyle w:val="001000010000"/>
            <w:tcW w:w="782" w:type="dxa"/>
          </w:tcPr>
          <w:p w14:paraId="000005B9">
            <w:pPr>
              <w:jc w:val="center"/>
              <w:rPr>
                <w:rFonts w:ascii="Times New Roman" w:cs="Times New Roman" w:hAnsi="Times New Roman"/>
              </w:rPr>
            </w:pPr>
            <w:r>
              <w:rPr>
                <w:rFonts w:ascii="Times New Roman" w:cs="Times New Roman" w:hAnsi="Times New Roman"/>
              </w:rPr>
              <w:t>5</w:t>
            </w:r>
          </w:p>
        </w:tc>
        <w:tc>
          <w:tcPr>
            <w:cnfStyle w:val="000000010000"/>
            <w:tcW w:w="1359" w:type="dxa"/>
          </w:tcPr>
          <w:p w14:paraId="000005BA">
            <w:pPr>
              <w:jc w:val="center"/>
              <w:rPr>
                <w:rFonts w:ascii="Times New Roman" w:cs="Times New Roman" w:hAnsi="Times New Roman"/>
              </w:rPr>
            </w:pPr>
            <w:r>
              <w:rPr>
                <w:rFonts w:ascii="Times New Roman" w:cs="Times New Roman" w:hAnsi="Times New Roman"/>
              </w:rPr>
              <w:t>–</w:t>
            </w:r>
          </w:p>
        </w:tc>
        <w:tc>
          <w:tcPr>
            <w:cnfStyle w:val="000000010000"/>
            <w:tcW w:w="1032" w:type="dxa"/>
          </w:tcPr>
          <w:p w14:paraId="000005BB">
            <w:pPr>
              <w:jc w:val="center"/>
              <w:rPr>
                <w:rFonts w:ascii="Times New Roman" w:cs="Times New Roman" w:hAnsi="Times New Roman"/>
              </w:rPr>
            </w:pPr>
            <w:r>
              <w:rPr>
                <w:rFonts w:ascii="Times New Roman" w:cs="Times New Roman" w:hAnsi="Times New Roman"/>
              </w:rPr>
              <w:t>83,3</w:t>
            </w:r>
          </w:p>
        </w:tc>
        <w:tc>
          <w:tcPr>
            <w:cnfStyle w:val="000000010000"/>
            <w:tcW w:w="1470" w:type="dxa"/>
          </w:tcPr>
          <w:p w14:paraId="000005BC">
            <w:pPr>
              <w:jc w:val="center"/>
              <w:rPr>
                <w:rFonts w:ascii="Times New Roman" w:cs="Times New Roman" w:hAnsi="Times New Roman"/>
              </w:rPr>
            </w:pPr>
            <w:r>
              <w:rPr>
                <w:rFonts w:ascii="Times New Roman" w:cs="Times New Roman" w:hAnsi="Times New Roman"/>
              </w:rPr>
              <w:t>3,5</w:t>
            </w:r>
          </w:p>
        </w:tc>
        <w:tc>
          <w:tcPr>
            <w:cnfStyle w:val="000000010000"/>
            <w:tcW w:w="1215" w:type="dxa"/>
          </w:tcPr>
          <w:p w14:paraId="000005BD">
            <w:pPr>
              <w:jc w:val="center"/>
              <w:rPr>
                <w:rFonts w:ascii="Times New Roman" w:cs="Times New Roman" w:hAnsi="Times New Roman"/>
              </w:rPr>
            </w:pPr>
            <w:r>
              <w:rPr>
                <w:rFonts w:ascii="Times New Roman" w:cs="Times New Roman" w:hAnsi="Times New Roman"/>
              </w:rPr>
              <w:t>86,8</w:t>
            </w:r>
          </w:p>
        </w:tc>
        <w:tc>
          <w:tcPr>
            <w:cnfStyle w:val="000000010000"/>
            <w:tcW w:w="785" w:type="dxa"/>
          </w:tcPr>
          <w:p w14:paraId="000005BE">
            <w:pPr>
              <w:jc w:val="center"/>
              <w:rPr>
                <w:rFonts w:ascii="Times New Roman" w:cs="Times New Roman" w:hAnsi="Times New Roman"/>
              </w:rPr>
            </w:pPr>
            <w:r>
              <w:rPr>
                <w:rFonts w:ascii="Times New Roman" w:cs="Times New Roman" w:hAnsi="Times New Roman"/>
              </w:rPr>
              <w:t>0,497</w:t>
            </w:r>
          </w:p>
        </w:tc>
        <w:tc>
          <w:tcPr>
            <w:cnfStyle w:val="000000010000"/>
            <w:tcW w:w="1198" w:type="dxa"/>
          </w:tcPr>
          <w:p w14:paraId="000005BF">
            <w:pPr>
              <w:jc w:val="center"/>
              <w:rPr>
                <w:rFonts w:ascii="Times New Roman" w:cs="Times New Roman" w:hAnsi="Times New Roman"/>
              </w:rPr>
            </w:pPr>
            <w:r>
              <w:rPr>
                <w:rFonts w:ascii="Times New Roman" w:cs="Times New Roman" w:hAnsi="Times New Roman"/>
              </w:rPr>
              <w:t>43,1</w:t>
            </w:r>
          </w:p>
        </w:tc>
        <w:tc>
          <w:tcPr>
            <w:cnfStyle w:val="000000010000"/>
            <w:tcW w:w="1536" w:type="dxa"/>
          </w:tcPr>
          <w:p w14:paraId="000005C0">
            <w:pPr>
              <w:jc w:val="center"/>
              <w:rPr>
                <w:rFonts w:ascii="Times New Roman" w:cs="Times New Roman" w:hAnsi="Times New Roman"/>
              </w:rPr>
            </w:pPr>
            <w:r>
              <w:rPr>
                <w:rFonts w:ascii="Times New Roman" w:cs="Times New Roman" w:hAnsi="Times New Roman"/>
              </w:rPr>
              <w:t>131,6</w:t>
            </w:r>
          </w:p>
        </w:tc>
      </w:tr>
      <w:tr>
        <w:trPr>
          <w:jc w:val="center"/>
        </w:trPr>
        <w:tc>
          <w:tcPr>
            <w:cnfStyle w:val="001000100000"/>
            <w:tcW w:w="782" w:type="dxa"/>
          </w:tcPr>
          <w:p w14:paraId="000005C1">
            <w:pPr>
              <w:jc w:val="center"/>
              <w:rPr>
                <w:rFonts w:ascii="Times New Roman" w:cs="Times New Roman" w:hAnsi="Times New Roman"/>
              </w:rPr>
            </w:pPr>
            <w:r>
              <w:rPr>
                <w:rFonts w:ascii="Times New Roman" w:cs="Times New Roman" w:hAnsi="Times New Roman"/>
              </w:rPr>
              <w:t>Итого</w:t>
            </w:r>
          </w:p>
        </w:tc>
        <w:tc>
          <w:tcPr>
            <w:cnfStyle w:val="000000100000"/>
            <w:tcW w:w="1359" w:type="dxa"/>
          </w:tcPr>
          <w:p w14:paraId="000005C2">
            <w:pPr>
              <w:jc w:val="center"/>
              <w:rPr>
                <w:rFonts w:ascii="Times New Roman" w:cs="Times New Roman" w:hAnsi="Times New Roman"/>
              </w:rPr>
            </w:pPr>
            <w:r>
              <w:rPr>
                <w:rFonts w:ascii="Times New Roman" w:cs="Times New Roman" w:hAnsi="Times New Roman"/>
              </w:rPr>
              <w:t>–87,0</w:t>
            </w:r>
          </w:p>
        </w:tc>
        <w:tc>
          <w:tcPr>
            <w:cnfStyle w:val="000000100000"/>
            <w:tcW w:w="1032" w:type="dxa"/>
          </w:tcPr>
          <w:p w14:paraId="000005C3">
            <w:pPr>
              <w:jc w:val="center"/>
              <w:rPr>
                <w:rFonts w:ascii="Times New Roman" w:cs="Times New Roman" w:hAnsi="Times New Roman"/>
              </w:rPr>
            </w:pPr>
          </w:p>
        </w:tc>
        <w:tc>
          <w:tcPr>
            <w:cnfStyle w:val="000000100000"/>
            <w:tcW w:w="1470" w:type="dxa"/>
          </w:tcPr>
          <w:p w14:paraId="000005C4">
            <w:pPr>
              <w:jc w:val="center"/>
              <w:rPr>
                <w:rFonts w:ascii="Times New Roman" w:cs="Times New Roman" w:hAnsi="Times New Roman"/>
              </w:rPr>
            </w:pPr>
          </w:p>
        </w:tc>
        <w:tc>
          <w:tcPr>
            <w:cnfStyle w:val="000000100000"/>
            <w:tcW w:w="1215" w:type="dxa"/>
          </w:tcPr>
          <w:p w14:paraId="000005C5">
            <w:pPr>
              <w:jc w:val="center"/>
              <w:rPr>
                <w:rFonts w:ascii="Times New Roman" w:cs="Times New Roman" w:hAnsi="Times New Roman"/>
              </w:rPr>
            </w:pPr>
          </w:p>
        </w:tc>
        <w:tc>
          <w:tcPr>
            <w:cnfStyle w:val="000000100000"/>
            <w:tcW w:w="785" w:type="dxa"/>
          </w:tcPr>
          <w:p w14:paraId="000005C6">
            <w:pPr>
              <w:jc w:val="center"/>
              <w:rPr>
                <w:rFonts w:ascii="Times New Roman" w:cs="Times New Roman" w:hAnsi="Times New Roman"/>
              </w:rPr>
            </w:pPr>
          </w:p>
        </w:tc>
        <w:tc>
          <w:tcPr>
            <w:cnfStyle w:val="000000100000"/>
            <w:tcW w:w="1198" w:type="dxa"/>
          </w:tcPr>
          <w:p w14:paraId="000005C7">
            <w:pPr>
              <w:jc w:val="center"/>
              <w:rPr>
                <w:rFonts w:ascii="Times New Roman" w:cs="Times New Roman" w:hAnsi="Times New Roman"/>
              </w:rPr>
            </w:pPr>
            <w:r>
              <w:rPr>
                <w:rFonts w:ascii="Times New Roman" w:cs="Times New Roman" w:hAnsi="Times New Roman"/>
              </w:rPr>
              <w:t>NPV = 131,6</w:t>
            </w:r>
          </w:p>
        </w:tc>
        <w:tc>
          <w:tcPr>
            <w:cnfStyle w:val="000000100000"/>
            <w:tcW w:w="1536" w:type="dxa"/>
          </w:tcPr>
          <w:p w14:paraId="000005C8">
            <w:pPr>
              <w:jc w:val="center"/>
              <w:rPr>
                <w:rFonts w:ascii="Times New Roman" w:cs="Times New Roman" w:hAnsi="Times New Roman"/>
              </w:rPr>
            </w:pPr>
          </w:p>
        </w:tc>
      </w:tr>
    </w:tbl>
    <w:p w14:paraId="000005C9">
      <w:pPr>
        <w:spacing w:beforeAutospacing="0" w:after="0" w:afterAutospacing="0" w:line="360" w:lineRule="auto"/>
        <w:ind w:firstLine="709"/>
        <w:jc w:val="both"/>
        <w:rPr>
          <w:rFonts w:ascii="Times New Roman" w:cs="Times New Roman" w:hAnsi="Times New Roman"/>
          <w:i/>
          <w:iCs/>
          <w:sz w:val="28"/>
          <w:szCs w:val="28"/>
        </w:rPr>
      </w:pPr>
    </w:p>
    <w:p w14:paraId="000005C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NPV = 131,6 млн руб.</w:t>
      </w:r>
      <w:r>
        <w:rPr>
          <w:rFonts w:ascii="Times New Roman" w:cs="Times New Roman" w:hAnsi="Times New Roman"/>
          <w:sz w:val="28"/>
          <w:szCs w:val="28"/>
        </w:rPr>
        <w:t> &gt; 0 – проект эффективен и приносит инвесторам дополнительную стоимость.</w:t>
      </w:r>
    </w:p>
    <w:p w14:paraId="000005C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Индекс доходности (PI)</w:t>
      </w:r>
      <w:r>
        <w:rPr>
          <w:rFonts w:ascii="Times New Roman" w:cs="Times New Roman" w:hAnsi="Times New Roman"/>
          <w:sz w:val="28"/>
          <w:szCs w:val="28"/>
        </w:rPr>
        <w:t> = (32,2 + 46,1 + 49,1 + 48,1 + 43,1) / 87 = 218,6 / 87 = 2,51. Это означает, что каждый вложенный рубль приносит 2,51 рубля дисконтированной прибыли.</w:t>
      </w:r>
    </w:p>
    <w:p w14:paraId="000005C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Дисконтированный срок окупаемости (DPP)</w:t>
      </w:r>
      <w:r>
        <w:rPr>
          <w:rFonts w:ascii="Times New Roman" w:cs="Times New Roman" w:hAnsi="Times New Roman"/>
          <w:sz w:val="28"/>
          <w:szCs w:val="28"/>
        </w:rPr>
        <w:t> – период, за который накопленный дисконтированный денежный поток становится положительным. Накопленный дисконтированный поток на конец 2-го года: –8,7 млн руб. (отрицательный). Накопленный дисконтированный поток на конец 3-го года: 40,4 млн руб. (положительный). Дисконтированный срок окупаемости составляет чуть более 2 лет. Более точно: DPP = 2 + (8,7 / 49,1) = 2 + 0,18 = 2,18 года ≈ 26 месяцев.</w:t>
      </w:r>
    </w:p>
    <w:p w14:paraId="000005C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bCs/>
          <w:sz w:val="28"/>
          <w:szCs w:val="28"/>
        </w:rPr>
        <w:t>Внутренняя норма доходности (IRR)</w:t>
      </w:r>
      <w:r>
        <w:rPr>
          <w:rFonts w:ascii="Times New Roman" w:cs="Times New Roman" w:hAnsi="Times New Roman"/>
          <w:sz w:val="28"/>
          <w:szCs w:val="28"/>
        </w:rPr>
        <w:t> – ставка дисконтирования, при которой NPV = 0. Путём подбора (или с использованием функции Excel ВСД) получаем IRR ≈ 35–38% в зависимости от точности расчётов. Это значительно выше ставки дисконтирования (15%) и выше стоимости заёмного капитала (17–18%), что подтверждает высокую эффективность проекта.</w:t>
      </w:r>
    </w:p>
    <w:p w14:paraId="000005C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оценки устойчивости проекта к изменению ключевых параметров проведён анализ чувствительности. Результаты представлены в таблице 3.11.</w:t>
      </w:r>
    </w:p>
    <w:p w14:paraId="000005CF">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3.11 – Анализ чувствительности NPV (млн руб.) к изменению факторов</w:t>
      </w:r>
    </w:p>
    <w:tbl>
      <w:tblPr>
        <w:tblStyle w:val="TableGrid"/>
        <w:tblW w:w="9413" w:type="dxa"/>
        <w:tblInd w:w="87" w:type="dxa"/>
        <w:tblLook w:val="04A0"/>
      </w:tblPr>
      <w:tblGrid>
        <w:gridCol w:w="2972"/>
        <w:gridCol w:w="1276"/>
        <w:gridCol w:w="1692"/>
        <w:gridCol w:w="576"/>
        <w:gridCol w:w="1276"/>
        <w:gridCol w:w="1621"/>
      </w:tblGrid>
      <w:tr>
        <w:trPr/>
        <w:tc>
          <w:tcPr>
            <w:cnfStyle w:val="101000000000"/>
            <w:tcW w:w="2972" w:type="dxa"/>
          </w:tcPr>
          <w:p w14:paraId="000005D0">
            <w:pPr>
              <w:jc w:val="center"/>
              <w:rPr>
                <w:rFonts w:ascii="Times New Roman" w:cs="Times New Roman" w:hAnsi="Times New Roman"/>
                <w:sz w:val="24"/>
                <w:szCs w:val="24"/>
              </w:rPr>
            </w:pPr>
            <w:r>
              <w:rPr>
                <w:rFonts w:ascii="Times New Roman" w:cs="Times New Roman" w:hAnsi="Times New Roman"/>
                <w:sz w:val="24"/>
                <w:szCs w:val="24"/>
              </w:rPr>
              <w:t>Отклонение фактора</w:t>
            </w:r>
          </w:p>
        </w:tc>
        <w:tc>
          <w:tcPr>
            <w:cnfStyle w:val="100000000000"/>
            <w:tcW w:w="1276" w:type="dxa"/>
          </w:tcPr>
          <w:p w14:paraId="000005D1">
            <w:pPr>
              <w:jc w:val="center"/>
              <w:rPr>
                <w:rFonts w:ascii="Times New Roman" w:cs="Times New Roman" w:hAnsi="Times New Roman"/>
                <w:sz w:val="24"/>
                <w:szCs w:val="24"/>
              </w:rPr>
            </w:pPr>
            <w:r>
              <w:rPr>
                <w:rFonts w:ascii="Times New Roman" w:cs="Times New Roman" w:hAnsi="Times New Roman"/>
                <w:sz w:val="24"/>
                <w:szCs w:val="24"/>
              </w:rPr>
              <w:t>–20%</w:t>
            </w:r>
          </w:p>
        </w:tc>
        <w:tc>
          <w:tcPr>
            <w:cnfStyle w:val="100000000000"/>
            <w:tcW w:w="1692" w:type="dxa"/>
          </w:tcPr>
          <w:p w14:paraId="000005D2">
            <w:pPr>
              <w:jc w:val="center"/>
              <w:rPr>
                <w:rFonts w:ascii="Times New Roman" w:cs="Times New Roman" w:hAnsi="Times New Roman"/>
                <w:sz w:val="24"/>
                <w:szCs w:val="24"/>
              </w:rPr>
            </w:pPr>
            <w:r>
              <w:rPr>
                <w:rFonts w:ascii="Times New Roman" w:cs="Times New Roman" w:hAnsi="Times New Roman"/>
                <w:sz w:val="24"/>
                <w:szCs w:val="24"/>
              </w:rPr>
              <w:t>–10%</w:t>
            </w:r>
          </w:p>
        </w:tc>
        <w:tc>
          <w:tcPr>
            <w:cnfStyle w:val="100000000000"/>
            <w:tcW w:w="576" w:type="dxa"/>
          </w:tcPr>
          <w:p w14:paraId="000005D3">
            <w:pPr>
              <w:jc w:val="center"/>
              <w:rPr>
                <w:rFonts w:ascii="Times New Roman" w:cs="Times New Roman" w:hAnsi="Times New Roman"/>
                <w:sz w:val="24"/>
                <w:szCs w:val="24"/>
              </w:rPr>
            </w:pPr>
            <w:r>
              <w:rPr>
                <w:rFonts w:ascii="Times New Roman" w:cs="Times New Roman" w:hAnsi="Times New Roman"/>
                <w:sz w:val="24"/>
                <w:szCs w:val="24"/>
              </w:rPr>
              <w:t>0%</w:t>
            </w:r>
          </w:p>
        </w:tc>
        <w:tc>
          <w:tcPr>
            <w:cnfStyle w:val="100000000000"/>
            <w:tcW w:w="1276" w:type="dxa"/>
          </w:tcPr>
          <w:p w14:paraId="000005D4">
            <w:pPr>
              <w:jc w:val="center"/>
              <w:rPr>
                <w:rFonts w:ascii="Times New Roman" w:cs="Times New Roman" w:hAnsi="Times New Roman"/>
                <w:sz w:val="24"/>
                <w:szCs w:val="24"/>
              </w:rPr>
            </w:pPr>
            <w:r>
              <w:rPr>
                <w:rFonts w:ascii="Times New Roman" w:cs="Times New Roman" w:hAnsi="Times New Roman"/>
                <w:sz w:val="24"/>
                <w:szCs w:val="24"/>
              </w:rPr>
              <w:t>+10%</w:t>
            </w:r>
          </w:p>
        </w:tc>
        <w:tc>
          <w:tcPr>
            <w:cnfStyle w:val="100000000000"/>
            <w:tcW w:w="1621" w:type="dxa"/>
          </w:tcPr>
          <w:p w14:paraId="000005D5">
            <w:pPr>
              <w:jc w:val="center"/>
              <w:rPr>
                <w:rFonts w:ascii="Times New Roman" w:cs="Times New Roman" w:hAnsi="Times New Roman"/>
                <w:sz w:val="24"/>
                <w:szCs w:val="24"/>
              </w:rPr>
            </w:pPr>
            <w:r>
              <w:rPr>
                <w:rFonts w:ascii="Times New Roman" w:cs="Times New Roman" w:hAnsi="Times New Roman"/>
                <w:sz w:val="24"/>
                <w:szCs w:val="24"/>
              </w:rPr>
              <w:t>+20%</w:t>
            </w:r>
          </w:p>
        </w:tc>
      </w:tr>
      <w:tr>
        <w:trPr/>
        <w:tc>
          <w:tcPr>
            <w:cnfStyle w:val="001000100000"/>
            <w:tcW w:w="2972" w:type="dxa"/>
          </w:tcPr>
          <w:p w14:paraId="000005D6">
            <w:pPr>
              <w:jc w:val="center"/>
              <w:rPr>
                <w:rFonts w:ascii="Times New Roman" w:cs="Times New Roman" w:hAnsi="Times New Roman"/>
                <w:sz w:val="24"/>
                <w:szCs w:val="24"/>
              </w:rPr>
            </w:pPr>
            <w:r>
              <w:rPr>
                <w:rFonts w:ascii="Times New Roman" w:cs="Times New Roman" w:hAnsi="Times New Roman"/>
                <w:sz w:val="24"/>
                <w:szCs w:val="24"/>
              </w:rPr>
              <w:t>Цена реализации</w:t>
            </w:r>
          </w:p>
        </w:tc>
        <w:tc>
          <w:tcPr>
            <w:cnfStyle w:val="000000100000"/>
            <w:tcW w:w="1276" w:type="dxa"/>
          </w:tcPr>
          <w:p w14:paraId="000005D7">
            <w:pPr>
              <w:jc w:val="center"/>
              <w:rPr>
                <w:rFonts w:ascii="Times New Roman" w:cs="Times New Roman" w:hAnsi="Times New Roman"/>
                <w:sz w:val="24"/>
                <w:szCs w:val="24"/>
              </w:rPr>
            </w:pPr>
            <w:r>
              <w:rPr>
                <w:rFonts w:ascii="Times New Roman" w:cs="Times New Roman" w:hAnsi="Times New Roman"/>
                <w:sz w:val="24"/>
                <w:szCs w:val="24"/>
              </w:rPr>
              <w:t>75</w:t>
            </w:r>
          </w:p>
        </w:tc>
        <w:tc>
          <w:tcPr>
            <w:cnfStyle w:val="000000100000"/>
            <w:tcW w:w="1692" w:type="dxa"/>
          </w:tcPr>
          <w:p w14:paraId="000005D8">
            <w:pPr>
              <w:jc w:val="center"/>
              <w:rPr>
                <w:rFonts w:ascii="Times New Roman" w:cs="Times New Roman" w:hAnsi="Times New Roman"/>
                <w:sz w:val="24"/>
                <w:szCs w:val="24"/>
              </w:rPr>
            </w:pPr>
            <w:r>
              <w:rPr>
                <w:rFonts w:ascii="Times New Roman" w:cs="Times New Roman" w:hAnsi="Times New Roman"/>
                <w:sz w:val="24"/>
                <w:szCs w:val="24"/>
              </w:rPr>
              <w:t>103</w:t>
            </w:r>
          </w:p>
        </w:tc>
        <w:tc>
          <w:tcPr>
            <w:cnfStyle w:val="000000100000"/>
            <w:tcW w:w="576" w:type="dxa"/>
          </w:tcPr>
          <w:p w14:paraId="000005D9">
            <w:pPr>
              <w:jc w:val="center"/>
              <w:rPr>
                <w:rFonts w:ascii="Times New Roman" w:cs="Times New Roman" w:hAnsi="Times New Roman"/>
                <w:sz w:val="24"/>
                <w:szCs w:val="24"/>
              </w:rPr>
            </w:pPr>
            <w:r>
              <w:rPr>
                <w:rFonts w:ascii="Times New Roman" w:cs="Times New Roman" w:hAnsi="Times New Roman"/>
                <w:sz w:val="24"/>
                <w:szCs w:val="24"/>
              </w:rPr>
              <w:t>132</w:t>
            </w:r>
          </w:p>
        </w:tc>
        <w:tc>
          <w:tcPr>
            <w:cnfStyle w:val="000000100000"/>
            <w:tcW w:w="1276" w:type="dxa"/>
          </w:tcPr>
          <w:p w14:paraId="000005DA">
            <w:pPr>
              <w:jc w:val="center"/>
              <w:rPr>
                <w:rFonts w:ascii="Times New Roman" w:cs="Times New Roman" w:hAnsi="Times New Roman"/>
                <w:sz w:val="24"/>
                <w:szCs w:val="24"/>
              </w:rPr>
            </w:pPr>
            <w:r>
              <w:rPr>
                <w:rFonts w:ascii="Times New Roman" w:cs="Times New Roman" w:hAnsi="Times New Roman"/>
                <w:sz w:val="24"/>
                <w:szCs w:val="24"/>
              </w:rPr>
              <w:t>160</w:t>
            </w:r>
          </w:p>
        </w:tc>
        <w:tc>
          <w:tcPr>
            <w:cnfStyle w:val="000000100000"/>
            <w:tcW w:w="1621" w:type="dxa"/>
          </w:tcPr>
          <w:p w14:paraId="000005DB">
            <w:pPr>
              <w:jc w:val="center"/>
              <w:rPr>
                <w:rFonts w:ascii="Times New Roman" w:cs="Times New Roman" w:hAnsi="Times New Roman"/>
                <w:sz w:val="24"/>
                <w:szCs w:val="24"/>
              </w:rPr>
            </w:pPr>
            <w:r>
              <w:rPr>
                <w:rFonts w:ascii="Times New Roman" w:cs="Times New Roman" w:hAnsi="Times New Roman"/>
                <w:sz w:val="24"/>
                <w:szCs w:val="24"/>
              </w:rPr>
              <w:t>188</w:t>
            </w:r>
          </w:p>
        </w:tc>
      </w:tr>
      <w:tr>
        <w:trPr/>
        <w:tc>
          <w:tcPr>
            <w:cnfStyle w:val="001000010000"/>
            <w:tcW w:w="2972" w:type="dxa"/>
          </w:tcPr>
          <w:p w14:paraId="000005DC">
            <w:pPr>
              <w:jc w:val="center"/>
              <w:rPr>
                <w:rFonts w:ascii="Times New Roman" w:cs="Times New Roman" w:hAnsi="Times New Roman"/>
                <w:sz w:val="24"/>
                <w:szCs w:val="24"/>
              </w:rPr>
            </w:pPr>
            <w:r>
              <w:rPr>
                <w:rFonts w:ascii="Times New Roman" w:cs="Times New Roman" w:hAnsi="Times New Roman"/>
                <w:sz w:val="24"/>
                <w:szCs w:val="24"/>
              </w:rPr>
              <w:t>Объём продаж</w:t>
            </w:r>
          </w:p>
        </w:tc>
        <w:tc>
          <w:tcPr>
            <w:cnfStyle w:val="000000010000"/>
            <w:tcW w:w="1276" w:type="dxa"/>
          </w:tcPr>
          <w:p w14:paraId="000005DD">
            <w:pPr>
              <w:jc w:val="center"/>
              <w:rPr>
                <w:rFonts w:ascii="Times New Roman" w:cs="Times New Roman" w:hAnsi="Times New Roman"/>
                <w:sz w:val="24"/>
                <w:szCs w:val="24"/>
              </w:rPr>
            </w:pPr>
            <w:r>
              <w:rPr>
                <w:rFonts w:ascii="Times New Roman" w:cs="Times New Roman" w:hAnsi="Times New Roman"/>
                <w:sz w:val="24"/>
                <w:szCs w:val="24"/>
              </w:rPr>
              <w:t>92</w:t>
            </w:r>
          </w:p>
        </w:tc>
        <w:tc>
          <w:tcPr>
            <w:cnfStyle w:val="000000010000"/>
            <w:tcW w:w="1692" w:type="dxa"/>
          </w:tcPr>
          <w:p w14:paraId="000005DE">
            <w:pPr>
              <w:jc w:val="center"/>
              <w:rPr>
                <w:rFonts w:ascii="Times New Roman" w:cs="Times New Roman" w:hAnsi="Times New Roman"/>
                <w:sz w:val="24"/>
                <w:szCs w:val="24"/>
              </w:rPr>
            </w:pPr>
            <w:r>
              <w:rPr>
                <w:rFonts w:ascii="Times New Roman" w:cs="Times New Roman" w:hAnsi="Times New Roman"/>
                <w:sz w:val="24"/>
                <w:szCs w:val="24"/>
              </w:rPr>
              <w:t>112</w:t>
            </w:r>
          </w:p>
        </w:tc>
        <w:tc>
          <w:tcPr>
            <w:cnfStyle w:val="000000010000"/>
            <w:tcW w:w="576" w:type="dxa"/>
          </w:tcPr>
          <w:p w14:paraId="000005DF">
            <w:pPr>
              <w:jc w:val="center"/>
              <w:rPr>
                <w:rFonts w:ascii="Times New Roman" w:cs="Times New Roman" w:hAnsi="Times New Roman"/>
                <w:sz w:val="24"/>
                <w:szCs w:val="24"/>
              </w:rPr>
            </w:pPr>
            <w:r>
              <w:rPr>
                <w:rFonts w:ascii="Times New Roman" w:cs="Times New Roman" w:hAnsi="Times New Roman"/>
                <w:sz w:val="24"/>
                <w:szCs w:val="24"/>
              </w:rPr>
              <w:t>132</w:t>
            </w:r>
          </w:p>
        </w:tc>
        <w:tc>
          <w:tcPr>
            <w:cnfStyle w:val="000000010000"/>
            <w:tcW w:w="1276" w:type="dxa"/>
          </w:tcPr>
          <w:p w14:paraId="000005E0">
            <w:pPr>
              <w:jc w:val="center"/>
              <w:rPr>
                <w:rFonts w:ascii="Times New Roman" w:cs="Times New Roman" w:hAnsi="Times New Roman"/>
                <w:sz w:val="24"/>
                <w:szCs w:val="24"/>
              </w:rPr>
            </w:pPr>
            <w:r>
              <w:rPr>
                <w:rFonts w:ascii="Times New Roman" w:cs="Times New Roman" w:hAnsi="Times New Roman"/>
                <w:sz w:val="24"/>
                <w:szCs w:val="24"/>
              </w:rPr>
              <w:t>152</w:t>
            </w:r>
          </w:p>
        </w:tc>
        <w:tc>
          <w:tcPr>
            <w:cnfStyle w:val="000000010000"/>
            <w:tcW w:w="1621" w:type="dxa"/>
          </w:tcPr>
          <w:p w14:paraId="000005E1">
            <w:pPr>
              <w:jc w:val="center"/>
              <w:rPr>
                <w:rFonts w:ascii="Times New Roman" w:cs="Times New Roman" w:hAnsi="Times New Roman"/>
                <w:sz w:val="24"/>
                <w:szCs w:val="24"/>
              </w:rPr>
            </w:pPr>
            <w:r>
              <w:rPr>
                <w:rFonts w:ascii="Times New Roman" w:cs="Times New Roman" w:hAnsi="Times New Roman"/>
                <w:sz w:val="24"/>
                <w:szCs w:val="24"/>
              </w:rPr>
              <w:t>172</w:t>
            </w:r>
          </w:p>
        </w:tc>
      </w:tr>
      <w:tr>
        <w:trPr/>
        <w:tc>
          <w:tcPr>
            <w:cnfStyle w:val="001000100000"/>
            <w:tcW w:w="2972" w:type="dxa"/>
          </w:tcPr>
          <w:p w14:paraId="000005E2">
            <w:pPr>
              <w:jc w:val="center"/>
              <w:rPr>
                <w:rFonts w:ascii="Times New Roman" w:cs="Times New Roman" w:hAnsi="Times New Roman"/>
                <w:sz w:val="24"/>
                <w:szCs w:val="24"/>
              </w:rPr>
            </w:pPr>
            <w:r>
              <w:rPr>
                <w:rFonts w:ascii="Times New Roman" w:cs="Times New Roman" w:hAnsi="Times New Roman"/>
                <w:sz w:val="24"/>
                <w:szCs w:val="24"/>
              </w:rPr>
              <w:t>Переменные затраты</w:t>
            </w:r>
          </w:p>
        </w:tc>
        <w:tc>
          <w:tcPr>
            <w:cnfStyle w:val="000000100000"/>
            <w:tcW w:w="1276" w:type="dxa"/>
          </w:tcPr>
          <w:p w14:paraId="000005E3">
            <w:pPr>
              <w:jc w:val="center"/>
              <w:rPr>
                <w:rFonts w:ascii="Times New Roman" w:cs="Times New Roman" w:hAnsi="Times New Roman"/>
                <w:sz w:val="24"/>
                <w:szCs w:val="24"/>
              </w:rPr>
            </w:pPr>
            <w:r>
              <w:rPr>
                <w:rFonts w:ascii="Times New Roman" w:cs="Times New Roman" w:hAnsi="Times New Roman"/>
                <w:sz w:val="24"/>
                <w:szCs w:val="24"/>
              </w:rPr>
              <w:t>168</w:t>
            </w:r>
          </w:p>
        </w:tc>
        <w:tc>
          <w:tcPr>
            <w:cnfStyle w:val="000000100000"/>
            <w:tcW w:w="1692" w:type="dxa"/>
          </w:tcPr>
          <w:p w14:paraId="000005E4">
            <w:pPr>
              <w:jc w:val="center"/>
              <w:rPr>
                <w:rFonts w:ascii="Times New Roman" w:cs="Times New Roman" w:hAnsi="Times New Roman"/>
                <w:sz w:val="24"/>
                <w:szCs w:val="24"/>
              </w:rPr>
            </w:pPr>
            <w:r>
              <w:rPr>
                <w:rFonts w:ascii="Times New Roman" w:cs="Times New Roman" w:hAnsi="Times New Roman"/>
                <w:sz w:val="24"/>
                <w:szCs w:val="24"/>
              </w:rPr>
              <w:t>150</w:t>
            </w:r>
          </w:p>
        </w:tc>
        <w:tc>
          <w:tcPr>
            <w:cnfStyle w:val="000000100000"/>
            <w:tcW w:w="576" w:type="dxa"/>
          </w:tcPr>
          <w:p w14:paraId="000005E5">
            <w:pPr>
              <w:jc w:val="center"/>
              <w:rPr>
                <w:rFonts w:ascii="Times New Roman" w:cs="Times New Roman" w:hAnsi="Times New Roman"/>
                <w:sz w:val="24"/>
                <w:szCs w:val="24"/>
              </w:rPr>
            </w:pPr>
            <w:r>
              <w:rPr>
                <w:rFonts w:ascii="Times New Roman" w:cs="Times New Roman" w:hAnsi="Times New Roman"/>
                <w:sz w:val="24"/>
                <w:szCs w:val="24"/>
              </w:rPr>
              <w:t>132</w:t>
            </w:r>
          </w:p>
        </w:tc>
        <w:tc>
          <w:tcPr>
            <w:cnfStyle w:val="000000100000"/>
            <w:tcW w:w="1276" w:type="dxa"/>
          </w:tcPr>
          <w:p w14:paraId="000005E6">
            <w:pPr>
              <w:jc w:val="center"/>
              <w:rPr>
                <w:rFonts w:ascii="Times New Roman" w:cs="Times New Roman" w:hAnsi="Times New Roman"/>
                <w:sz w:val="24"/>
                <w:szCs w:val="24"/>
              </w:rPr>
            </w:pPr>
            <w:r>
              <w:rPr>
                <w:rFonts w:ascii="Times New Roman" w:cs="Times New Roman" w:hAnsi="Times New Roman"/>
                <w:sz w:val="24"/>
                <w:szCs w:val="24"/>
              </w:rPr>
              <w:t>114</w:t>
            </w:r>
          </w:p>
        </w:tc>
        <w:tc>
          <w:tcPr>
            <w:cnfStyle w:val="000000100000"/>
            <w:tcW w:w="1621" w:type="dxa"/>
          </w:tcPr>
          <w:p w14:paraId="000005E7">
            <w:pPr>
              <w:jc w:val="center"/>
              <w:rPr>
                <w:rFonts w:ascii="Times New Roman" w:cs="Times New Roman" w:hAnsi="Times New Roman"/>
                <w:sz w:val="24"/>
                <w:szCs w:val="24"/>
              </w:rPr>
            </w:pPr>
            <w:r>
              <w:rPr>
                <w:rFonts w:ascii="Times New Roman" w:cs="Times New Roman" w:hAnsi="Times New Roman"/>
                <w:sz w:val="24"/>
                <w:szCs w:val="24"/>
              </w:rPr>
              <w:t>96</w:t>
            </w:r>
          </w:p>
        </w:tc>
      </w:tr>
      <w:tr>
        <w:trPr/>
        <w:tc>
          <w:tcPr>
            <w:cnfStyle w:val="001000010000"/>
            <w:tcW w:w="2972" w:type="dxa"/>
          </w:tcPr>
          <w:p w14:paraId="000005E8">
            <w:pPr>
              <w:jc w:val="center"/>
              <w:rPr>
                <w:rFonts w:ascii="Times New Roman" w:cs="Times New Roman" w:hAnsi="Times New Roman"/>
                <w:sz w:val="24"/>
                <w:szCs w:val="24"/>
              </w:rPr>
            </w:pPr>
            <w:r>
              <w:rPr>
                <w:rFonts w:ascii="Times New Roman" w:cs="Times New Roman" w:hAnsi="Times New Roman"/>
                <w:sz w:val="24"/>
                <w:szCs w:val="24"/>
              </w:rPr>
              <w:t>Постоянные затраты</w:t>
            </w:r>
          </w:p>
        </w:tc>
        <w:tc>
          <w:tcPr>
            <w:cnfStyle w:val="000000010000"/>
            <w:tcW w:w="1276" w:type="dxa"/>
          </w:tcPr>
          <w:p w14:paraId="000005E9">
            <w:pPr>
              <w:jc w:val="center"/>
              <w:rPr>
                <w:rFonts w:ascii="Times New Roman" w:cs="Times New Roman" w:hAnsi="Times New Roman"/>
                <w:sz w:val="24"/>
                <w:szCs w:val="24"/>
              </w:rPr>
            </w:pPr>
            <w:r>
              <w:rPr>
                <w:rFonts w:ascii="Times New Roman" w:cs="Times New Roman" w:hAnsi="Times New Roman"/>
                <w:sz w:val="24"/>
                <w:szCs w:val="24"/>
              </w:rPr>
              <w:t>146</w:t>
            </w:r>
          </w:p>
        </w:tc>
        <w:tc>
          <w:tcPr>
            <w:cnfStyle w:val="000000010000"/>
            <w:tcW w:w="1692" w:type="dxa"/>
          </w:tcPr>
          <w:p w14:paraId="000005EA">
            <w:pPr>
              <w:jc w:val="center"/>
              <w:rPr>
                <w:rFonts w:ascii="Times New Roman" w:cs="Times New Roman" w:hAnsi="Times New Roman"/>
                <w:sz w:val="24"/>
                <w:szCs w:val="24"/>
              </w:rPr>
            </w:pPr>
            <w:r>
              <w:rPr>
                <w:rFonts w:ascii="Times New Roman" w:cs="Times New Roman" w:hAnsi="Times New Roman"/>
                <w:sz w:val="24"/>
                <w:szCs w:val="24"/>
              </w:rPr>
              <w:t>139</w:t>
            </w:r>
          </w:p>
        </w:tc>
        <w:tc>
          <w:tcPr>
            <w:cnfStyle w:val="000000010000"/>
            <w:tcW w:w="576" w:type="dxa"/>
          </w:tcPr>
          <w:p w14:paraId="000005EB">
            <w:pPr>
              <w:jc w:val="center"/>
              <w:rPr>
                <w:rFonts w:ascii="Times New Roman" w:cs="Times New Roman" w:hAnsi="Times New Roman"/>
                <w:sz w:val="24"/>
                <w:szCs w:val="24"/>
              </w:rPr>
            </w:pPr>
            <w:r>
              <w:rPr>
                <w:rFonts w:ascii="Times New Roman" w:cs="Times New Roman" w:hAnsi="Times New Roman"/>
                <w:sz w:val="24"/>
                <w:szCs w:val="24"/>
              </w:rPr>
              <w:t>132</w:t>
            </w:r>
          </w:p>
        </w:tc>
        <w:tc>
          <w:tcPr>
            <w:cnfStyle w:val="000000010000"/>
            <w:tcW w:w="1276" w:type="dxa"/>
          </w:tcPr>
          <w:p w14:paraId="000005EC">
            <w:pPr>
              <w:jc w:val="center"/>
              <w:rPr>
                <w:rFonts w:ascii="Times New Roman" w:cs="Times New Roman" w:hAnsi="Times New Roman"/>
                <w:sz w:val="24"/>
                <w:szCs w:val="24"/>
              </w:rPr>
            </w:pPr>
            <w:r>
              <w:rPr>
                <w:rFonts w:ascii="Times New Roman" w:cs="Times New Roman" w:hAnsi="Times New Roman"/>
                <w:sz w:val="24"/>
                <w:szCs w:val="24"/>
              </w:rPr>
              <w:t>125</w:t>
            </w:r>
          </w:p>
        </w:tc>
        <w:tc>
          <w:tcPr>
            <w:cnfStyle w:val="000000010000"/>
            <w:tcW w:w="1621" w:type="dxa"/>
          </w:tcPr>
          <w:p w14:paraId="000005ED">
            <w:pPr>
              <w:jc w:val="center"/>
              <w:rPr>
                <w:rFonts w:ascii="Times New Roman" w:cs="Times New Roman" w:hAnsi="Times New Roman"/>
                <w:sz w:val="24"/>
                <w:szCs w:val="24"/>
              </w:rPr>
            </w:pPr>
            <w:r>
              <w:rPr>
                <w:rFonts w:ascii="Times New Roman" w:cs="Times New Roman" w:hAnsi="Times New Roman"/>
                <w:sz w:val="24"/>
                <w:szCs w:val="24"/>
              </w:rPr>
              <w:t>118</w:t>
            </w:r>
          </w:p>
        </w:tc>
      </w:tr>
    </w:tbl>
    <w:p w14:paraId="000005EE">
      <w:pPr>
        <w:spacing w:beforeAutospacing="0" w:after="0" w:afterAutospacing="0" w:line="360" w:lineRule="auto"/>
        <w:ind w:firstLine="709"/>
        <w:jc w:val="both"/>
        <w:rPr>
          <w:rFonts w:ascii="Times New Roman" w:cs="Times New Roman" w:hAnsi="Times New Roman"/>
          <w:i/>
          <w:iCs/>
          <w:sz w:val="28"/>
          <w:szCs w:val="28"/>
        </w:rPr>
      </w:pPr>
    </w:p>
    <w:p w14:paraId="000005E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NPV остаётся положительным во всех рассмотренных сценариях:</w:t>
      </w:r>
    </w:p>
    <w:p w14:paraId="000005F0">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1) при снижении цены на 20% NPV = 75 млн руб.;</w:t>
      </w:r>
    </w:p>
    <w:p w14:paraId="000005F1">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при снижении объёма продаж на 20% NPV = 92 млн руб.;</w:t>
      </w:r>
    </w:p>
    <w:p w14:paraId="000005F2">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3) при росте переменных затрат на 20% NPV = 96 млн руб.;</w:t>
      </w:r>
    </w:p>
    <w:p w14:paraId="000005F3">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4) при росте постоянных затрат на 20% NPV = 118 млн руб.</w:t>
      </w:r>
    </w:p>
    <w:p w14:paraId="000005F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Наиболее чувствителен проект к изменению цены реализации (коэффициент эластичности NPV по цене ≈ 2,2). Это означает, что при снижении цены на 10% NPV снижается на 22%. Второй по значимости фактор – переменные затраты (эластичность ≈ –1,8). Наименее чувствителен проект к изменению постоянных затрат (эластичность ≈ –0,5). Таким образом, стратегия предприятия должна быть направлена на удержание цен (через качество и сервис) и контроль переменных затрат (особенно закупочных цен на цемент и отсевы). </w:t>
      </w:r>
    </w:p>
    <w:p w14:paraId="000005F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реализации проекта требуется 87 млн рублей. Планируется следующая структура финансирования, описанная далее.</w:t>
      </w:r>
    </w:p>
    <w:p w14:paraId="000005F6">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bCs/>
          <w:sz w:val="28"/>
          <w:szCs w:val="28"/>
        </w:rPr>
        <w:t>Собственные средства учредителей</w:t>
      </w:r>
      <w:r>
        <w:rPr>
          <w:rFonts w:ascii="Times New Roman" w:cs="Times New Roman" w:hAnsi="Times New Roman"/>
          <w:sz w:val="28"/>
          <w:szCs w:val="28"/>
        </w:rPr>
        <w:t> – 25 млн руб. (28,7%). Формируются из личных сбережений учредителей. Это достаточная доля для получения кредита в банке (обычно требуется 20–30% собственного участия) [44].</w:t>
      </w:r>
    </w:p>
    <w:p w14:paraId="000005F7">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bCs/>
          <w:sz w:val="28"/>
          <w:szCs w:val="28"/>
        </w:rPr>
        <w:t>Инвестиционный кредит</w:t>
      </w:r>
      <w:r>
        <w:rPr>
          <w:rFonts w:ascii="Times New Roman" w:cs="Times New Roman" w:hAnsi="Times New Roman"/>
          <w:sz w:val="28"/>
          <w:szCs w:val="28"/>
        </w:rPr>
        <w:t> – 42 млн руб. (48,3%) под 17% годовых на 5 лет. Кредит планируется получить в одном из банков, работающих с малым бизнесом в Пензенской области (Сбербанк, ВТБ, Россельхозбанк, МСП Банк). Под залог может быть предоставлено приобретаемое оборудование.</w:t>
      </w:r>
    </w:p>
    <w:p w14:paraId="000005F8">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bCs/>
          <w:sz w:val="28"/>
          <w:szCs w:val="28"/>
        </w:rPr>
        <w:t>Государственная поддержка (субсидии, гранты)</w:t>
      </w:r>
      <w:r>
        <w:rPr>
          <w:rFonts w:ascii="Times New Roman" w:cs="Times New Roman" w:hAnsi="Times New Roman"/>
          <w:sz w:val="28"/>
          <w:szCs w:val="28"/>
        </w:rPr>
        <w:t xml:space="preserve"> – 20 млн руб. (23,0%). </w:t>
      </w:r>
    </w:p>
    <w:p w14:paraId="000005F9">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Возможные источники:</w:t>
      </w:r>
    </w:p>
    <w:p w14:paraId="000005FA">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1) грант Фонда содействия инновациям (программа «Старт») – до 6 млн руб. (при наличии инновационной составляющей, например, новой рецептуры);</w:t>
      </w:r>
    </w:p>
    <w:p w14:paraId="000005FB">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2) субсидия Министерства экономического развития и промышленности Пензенской области на возмещение части затрат на приобретение оборудования – до 5 млн руб.;</w:t>
      </w:r>
    </w:p>
    <w:p w14:paraId="000005FC">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3) льготный лизинг через ГТЛК (компенсация до 40% первоначального взноса);</w:t>
      </w:r>
    </w:p>
    <w:p w14:paraId="000005FD">
      <w:pPr>
        <w:spacing w:beforeAutospacing="0" w:after="0" w:afterAutospacing="0" w:line="360" w:lineRule="auto"/>
        <w:ind w:firstLine="706"/>
        <w:jc w:val="both"/>
        <w:rPr>
          <w:rFonts w:ascii="Times New Roman" w:cs="Times New Roman" w:hAnsi="Times New Roman"/>
          <w:sz w:val="28"/>
          <w:szCs w:val="28"/>
        </w:rPr>
      </w:pPr>
      <w:r>
        <w:rPr>
          <w:rFonts w:ascii="Times New Roman" w:cs="Times New Roman" w:hAnsi="Times New Roman"/>
          <w:sz w:val="28"/>
          <w:szCs w:val="28"/>
        </w:rPr>
        <w:t>4) поручительство Корпорации МСП («зонтичный» механизм) для получения кредита на более выгодных условиях [41].</w:t>
      </w:r>
    </w:p>
    <w:p w14:paraId="000005FE">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План обслуживания кредита</w:t>
      </w:r>
      <w:r>
        <w:rPr>
          <w:rFonts w:ascii="Times New Roman" w:cs="Times New Roman" w:hAnsi="Times New Roman"/>
          <w:sz w:val="28"/>
          <w:szCs w:val="28"/>
        </w:rPr>
        <w:t> (ориентировочный, при сумме кредита 42 млн руб., 17% годовых, 5 лет, аннуитетные платежи) представлен в таблице 3.12.</w:t>
      </w:r>
    </w:p>
    <w:p w14:paraId="000005FF">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3.12 – План обслуживания кредита, млн руб.</w:t>
      </w:r>
    </w:p>
    <w:tbl>
      <w:tblPr>
        <w:tblStyle w:val="TableGrid"/>
        <w:tblW w:w="9410" w:type="dxa"/>
        <w:tblInd w:w="99" w:type="dxa"/>
        <w:tblLook w:val="04A0"/>
      </w:tblPr>
      <w:tblGrid>
        <w:gridCol w:w="597"/>
        <w:gridCol w:w="2141"/>
        <w:gridCol w:w="2056"/>
        <w:gridCol w:w="1259"/>
        <w:gridCol w:w="1445"/>
        <w:gridCol w:w="1912"/>
      </w:tblGrid>
      <w:tr>
        <w:trPr/>
        <w:tc>
          <w:tcPr>
            <w:cnfStyle w:val="101000000000"/>
            <w:tcW w:w="597" w:type="dxa"/>
          </w:tcPr>
          <w:p w14:paraId="00000600">
            <w:pPr>
              <w:jc w:val="center"/>
              <w:rPr>
                <w:rFonts w:ascii="Times New Roman" w:cs="Times New Roman" w:hAnsi="Times New Roman"/>
                <w:sz w:val="24"/>
                <w:szCs w:val="24"/>
              </w:rPr>
            </w:pPr>
            <w:r>
              <w:rPr>
                <w:rFonts w:ascii="Times New Roman" w:cs="Times New Roman" w:hAnsi="Times New Roman"/>
                <w:sz w:val="24"/>
                <w:szCs w:val="24"/>
              </w:rPr>
              <w:t>Год</w:t>
            </w:r>
          </w:p>
        </w:tc>
        <w:tc>
          <w:tcPr>
            <w:cnfStyle w:val="100000000000"/>
            <w:tcW w:w="2141" w:type="dxa"/>
          </w:tcPr>
          <w:p w14:paraId="00000601">
            <w:pPr>
              <w:jc w:val="center"/>
              <w:rPr>
                <w:rFonts w:ascii="Times New Roman" w:cs="Times New Roman" w:hAnsi="Times New Roman"/>
                <w:sz w:val="24"/>
                <w:szCs w:val="24"/>
              </w:rPr>
            </w:pPr>
            <w:r>
              <w:rPr>
                <w:rFonts w:ascii="Times New Roman" w:cs="Times New Roman" w:hAnsi="Times New Roman"/>
                <w:sz w:val="24"/>
                <w:szCs w:val="24"/>
              </w:rPr>
              <w:t>Остаток долга на начало года</w:t>
            </w:r>
          </w:p>
        </w:tc>
        <w:tc>
          <w:tcPr>
            <w:cnfStyle w:val="100000000000"/>
            <w:tcW w:w="2056" w:type="dxa"/>
          </w:tcPr>
          <w:p w14:paraId="00000602">
            <w:pPr>
              <w:jc w:val="center"/>
              <w:rPr>
                <w:rFonts w:ascii="Times New Roman" w:cs="Times New Roman" w:hAnsi="Times New Roman"/>
                <w:sz w:val="24"/>
                <w:szCs w:val="24"/>
              </w:rPr>
            </w:pPr>
            <w:r>
              <w:rPr>
                <w:rFonts w:ascii="Times New Roman" w:cs="Times New Roman" w:hAnsi="Times New Roman"/>
                <w:sz w:val="24"/>
                <w:szCs w:val="24"/>
              </w:rPr>
              <w:t>Погашение основного долга</w:t>
            </w:r>
          </w:p>
        </w:tc>
        <w:tc>
          <w:tcPr>
            <w:cnfStyle w:val="100000000000"/>
            <w:tcW w:w="1259" w:type="dxa"/>
          </w:tcPr>
          <w:p w14:paraId="00000603">
            <w:pPr>
              <w:jc w:val="center"/>
              <w:rPr>
                <w:rFonts w:ascii="Times New Roman" w:cs="Times New Roman" w:hAnsi="Times New Roman"/>
                <w:sz w:val="24"/>
                <w:szCs w:val="24"/>
              </w:rPr>
            </w:pPr>
            <w:r>
              <w:rPr>
                <w:rFonts w:ascii="Times New Roman" w:cs="Times New Roman" w:hAnsi="Times New Roman"/>
                <w:sz w:val="24"/>
                <w:szCs w:val="24"/>
              </w:rPr>
              <w:t>Проценты</w:t>
            </w:r>
          </w:p>
        </w:tc>
        <w:tc>
          <w:tcPr>
            <w:cnfStyle w:val="100000000000"/>
            <w:tcW w:w="1445" w:type="dxa"/>
          </w:tcPr>
          <w:p w14:paraId="00000604">
            <w:pPr>
              <w:jc w:val="center"/>
              <w:rPr>
                <w:rFonts w:ascii="Times New Roman" w:cs="Times New Roman" w:hAnsi="Times New Roman"/>
                <w:sz w:val="24"/>
                <w:szCs w:val="24"/>
              </w:rPr>
            </w:pPr>
            <w:r>
              <w:rPr>
                <w:rFonts w:ascii="Times New Roman" w:cs="Times New Roman" w:hAnsi="Times New Roman"/>
                <w:sz w:val="24"/>
                <w:szCs w:val="24"/>
              </w:rPr>
              <w:t>Ежегодный платёж</w:t>
            </w:r>
          </w:p>
        </w:tc>
        <w:tc>
          <w:tcPr>
            <w:cnfStyle w:val="100000000000"/>
            <w:tcW w:w="1912" w:type="dxa"/>
          </w:tcPr>
          <w:p w14:paraId="00000605">
            <w:pPr>
              <w:jc w:val="center"/>
              <w:rPr>
                <w:rFonts w:ascii="Times New Roman" w:cs="Times New Roman" w:hAnsi="Times New Roman"/>
                <w:sz w:val="24"/>
                <w:szCs w:val="24"/>
              </w:rPr>
            </w:pPr>
            <w:r>
              <w:rPr>
                <w:rFonts w:ascii="Times New Roman" w:cs="Times New Roman" w:hAnsi="Times New Roman"/>
                <w:sz w:val="24"/>
                <w:szCs w:val="24"/>
              </w:rPr>
              <w:t>Остаток долга на конец года</w:t>
            </w:r>
          </w:p>
        </w:tc>
      </w:tr>
      <w:tr>
        <w:trPr/>
        <w:tc>
          <w:tcPr>
            <w:cnfStyle w:val="001000100000"/>
            <w:tcW w:w="597" w:type="dxa"/>
          </w:tcPr>
          <w:p w14:paraId="00000606">
            <w:pPr>
              <w:jc w:val="center"/>
              <w:rPr>
                <w:rFonts w:ascii="Times New Roman" w:cs="Times New Roman" w:hAnsi="Times New Roman"/>
                <w:sz w:val="24"/>
                <w:szCs w:val="24"/>
              </w:rPr>
            </w:pPr>
            <w:r>
              <w:rPr>
                <w:rFonts w:ascii="Times New Roman" w:cs="Times New Roman" w:hAnsi="Times New Roman"/>
                <w:sz w:val="24"/>
                <w:szCs w:val="24"/>
              </w:rPr>
              <w:t>1</w:t>
            </w:r>
          </w:p>
        </w:tc>
        <w:tc>
          <w:tcPr>
            <w:cnfStyle w:val="000000100000"/>
            <w:tcW w:w="2141" w:type="dxa"/>
          </w:tcPr>
          <w:p w14:paraId="00000607">
            <w:pPr>
              <w:jc w:val="center"/>
              <w:rPr>
                <w:rFonts w:ascii="Times New Roman" w:cs="Times New Roman" w:hAnsi="Times New Roman"/>
                <w:sz w:val="24"/>
                <w:szCs w:val="24"/>
              </w:rPr>
            </w:pPr>
            <w:r>
              <w:rPr>
                <w:rFonts w:ascii="Times New Roman" w:cs="Times New Roman" w:hAnsi="Times New Roman"/>
                <w:sz w:val="24"/>
                <w:szCs w:val="24"/>
              </w:rPr>
              <w:t>42,0</w:t>
            </w:r>
          </w:p>
        </w:tc>
        <w:tc>
          <w:tcPr>
            <w:cnfStyle w:val="000000100000"/>
            <w:tcW w:w="2056" w:type="dxa"/>
          </w:tcPr>
          <w:p w14:paraId="00000608">
            <w:pPr>
              <w:jc w:val="center"/>
              <w:rPr>
                <w:rFonts w:ascii="Times New Roman" w:cs="Times New Roman" w:hAnsi="Times New Roman"/>
                <w:sz w:val="24"/>
                <w:szCs w:val="24"/>
              </w:rPr>
            </w:pPr>
            <w:r>
              <w:rPr>
                <w:rFonts w:ascii="Times New Roman" w:cs="Times New Roman" w:hAnsi="Times New Roman"/>
                <w:sz w:val="24"/>
                <w:szCs w:val="24"/>
              </w:rPr>
              <w:t>6,2</w:t>
            </w:r>
          </w:p>
        </w:tc>
        <w:tc>
          <w:tcPr>
            <w:cnfStyle w:val="000000100000"/>
            <w:tcW w:w="1259" w:type="dxa"/>
          </w:tcPr>
          <w:p w14:paraId="00000609">
            <w:pPr>
              <w:jc w:val="center"/>
              <w:rPr>
                <w:rFonts w:ascii="Times New Roman" w:cs="Times New Roman" w:hAnsi="Times New Roman"/>
                <w:sz w:val="24"/>
                <w:szCs w:val="24"/>
              </w:rPr>
            </w:pPr>
            <w:r>
              <w:rPr>
                <w:rFonts w:ascii="Times New Roman" w:cs="Times New Roman" w:hAnsi="Times New Roman"/>
                <w:sz w:val="24"/>
                <w:szCs w:val="24"/>
              </w:rPr>
              <w:t>7,1</w:t>
            </w:r>
          </w:p>
        </w:tc>
        <w:tc>
          <w:tcPr>
            <w:cnfStyle w:val="000000100000"/>
            <w:tcW w:w="1445" w:type="dxa"/>
          </w:tcPr>
          <w:p w14:paraId="0000060A">
            <w:pPr>
              <w:jc w:val="center"/>
              <w:rPr>
                <w:rFonts w:ascii="Times New Roman" w:cs="Times New Roman" w:hAnsi="Times New Roman"/>
                <w:sz w:val="24"/>
                <w:szCs w:val="24"/>
              </w:rPr>
            </w:pPr>
            <w:r>
              <w:rPr>
                <w:rFonts w:ascii="Times New Roman" w:cs="Times New Roman" w:hAnsi="Times New Roman"/>
                <w:sz w:val="24"/>
                <w:szCs w:val="24"/>
              </w:rPr>
              <w:t>13,3</w:t>
            </w:r>
          </w:p>
        </w:tc>
        <w:tc>
          <w:tcPr>
            <w:cnfStyle w:val="000000100000"/>
            <w:tcW w:w="1912" w:type="dxa"/>
          </w:tcPr>
          <w:p w14:paraId="0000060B">
            <w:pPr>
              <w:jc w:val="center"/>
              <w:rPr>
                <w:rFonts w:ascii="Times New Roman" w:cs="Times New Roman" w:hAnsi="Times New Roman"/>
                <w:sz w:val="24"/>
                <w:szCs w:val="24"/>
              </w:rPr>
            </w:pPr>
            <w:r>
              <w:rPr>
                <w:rFonts w:ascii="Times New Roman" w:cs="Times New Roman" w:hAnsi="Times New Roman"/>
                <w:sz w:val="24"/>
                <w:szCs w:val="24"/>
              </w:rPr>
              <w:t>35,8</w:t>
            </w:r>
          </w:p>
        </w:tc>
      </w:tr>
      <w:tr>
        <w:trPr/>
        <w:tc>
          <w:tcPr>
            <w:cnfStyle w:val="001000010000"/>
            <w:tcW w:w="597" w:type="dxa"/>
          </w:tcPr>
          <w:p w14:paraId="0000060C">
            <w:pPr>
              <w:jc w:val="center"/>
              <w:rPr>
                <w:rFonts w:ascii="Times New Roman" w:cs="Times New Roman" w:hAnsi="Times New Roman"/>
                <w:sz w:val="24"/>
                <w:szCs w:val="24"/>
              </w:rPr>
            </w:pPr>
            <w:r>
              <w:rPr>
                <w:rFonts w:ascii="Times New Roman" w:cs="Times New Roman" w:hAnsi="Times New Roman"/>
                <w:sz w:val="24"/>
                <w:szCs w:val="24"/>
              </w:rPr>
              <w:t>2</w:t>
            </w:r>
          </w:p>
        </w:tc>
        <w:tc>
          <w:tcPr>
            <w:cnfStyle w:val="000000010000"/>
            <w:tcW w:w="2141" w:type="dxa"/>
          </w:tcPr>
          <w:p w14:paraId="0000060D">
            <w:pPr>
              <w:jc w:val="center"/>
              <w:rPr>
                <w:rFonts w:ascii="Times New Roman" w:cs="Times New Roman" w:hAnsi="Times New Roman"/>
                <w:sz w:val="24"/>
                <w:szCs w:val="24"/>
              </w:rPr>
            </w:pPr>
            <w:r>
              <w:rPr>
                <w:rFonts w:ascii="Times New Roman" w:cs="Times New Roman" w:hAnsi="Times New Roman"/>
                <w:sz w:val="24"/>
                <w:szCs w:val="24"/>
              </w:rPr>
              <w:t>35,8</w:t>
            </w:r>
          </w:p>
        </w:tc>
        <w:tc>
          <w:tcPr>
            <w:cnfStyle w:val="000000010000"/>
            <w:tcW w:w="2056" w:type="dxa"/>
          </w:tcPr>
          <w:p w14:paraId="0000060E">
            <w:pPr>
              <w:jc w:val="center"/>
              <w:rPr>
                <w:rFonts w:ascii="Times New Roman" w:cs="Times New Roman" w:hAnsi="Times New Roman"/>
                <w:sz w:val="24"/>
                <w:szCs w:val="24"/>
              </w:rPr>
            </w:pPr>
            <w:r>
              <w:rPr>
                <w:rFonts w:ascii="Times New Roman" w:cs="Times New Roman" w:hAnsi="Times New Roman"/>
                <w:sz w:val="24"/>
                <w:szCs w:val="24"/>
              </w:rPr>
              <w:t>7,3</w:t>
            </w:r>
          </w:p>
        </w:tc>
        <w:tc>
          <w:tcPr>
            <w:cnfStyle w:val="000000010000"/>
            <w:tcW w:w="1259" w:type="dxa"/>
          </w:tcPr>
          <w:p w14:paraId="0000060F">
            <w:pPr>
              <w:jc w:val="center"/>
              <w:rPr>
                <w:rFonts w:ascii="Times New Roman" w:cs="Times New Roman" w:hAnsi="Times New Roman"/>
                <w:sz w:val="24"/>
                <w:szCs w:val="24"/>
              </w:rPr>
            </w:pPr>
            <w:r>
              <w:rPr>
                <w:rFonts w:ascii="Times New Roman" w:cs="Times New Roman" w:hAnsi="Times New Roman"/>
                <w:sz w:val="24"/>
                <w:szCs w:val="24"/>
              </w:rPr>
              <w:t>6,1</w:t>
            </w:r>
          </w:p>
        </w:tc>
        <w:tc>
          <w:tcPr>
            <w:cnfStyle w:val="000000010000"/>
            <w:tcW w:w="1445" w:type="dxa"/>
          </w:tcPr>
          <w:p w14:paraId="00000610">
            <w:pPr>
              <w:jc w:val="center"/>
              <w:rPr>
                <w:rFonts w:ascii="Times New Roman" w:cs="Times New Roman" w:hAnsi="Times New Roman"/>
                <w:sz w:val="24"/>
                <w:szCs w:val="24"/>
              </w:rPr>
            </w:pPr>
            <w:r>
              <w:rPr>
                <w:rFonts w:ascii="Times New Roman" w:cs="Times New Roman" w:hAnsi="Times New Roman"/>
                <w:sz w:val="24"/>
                <w:szCs w:val="24"/>
              </w:rPr>
              <w:t>13,4</w:t>
            </w:r>
          </w:p>
        </w:tc>
        <w:tc>
          <w:tcPr>
            <w:cnfStyle w:val="000000010000"/>
            <w:tcW w:w="1912" w:type="dxa"/>
          </w:tcPr>
          <w:p w14:paraId="00000611">
            <w:pPr>
              <w:jc w:val="center"/>
              <w:rPr>
                <w:rFonts w:ascii="Times New Roman" w:cs="Times New Roman" w:hAnsi="Times New Roman"/>
                <w:sz w:val="24"/>
                <w:szCs w:val="24"/>
              </w:rPr>
            </w:pPr>
            <w:r>
              <w:rPr>
                <w:rFonts w:ascii="Times New Roman" w:cs="Times New Roman" w:hAnsi="Times New Roman"/>
                <w:sz w:val="24"/>
                <w:szCs w:val="24"/>
              </w:rPr>
              <w:t>28,5</w:t>
            </w:r>
          </w:p>
        </w:tc>
      </w:tr>
      <w:tr>
        <w:trPr/>
        <w:tc>
          <w:tcPr>
            <w:cnfStyle w:val="001000100000"/>
            <w:tcW w:w="597" w:type="dxa"/>
          </w:tcPr>
          <w:p w14:paraId="00000612">
            <w:pPr>
              <w:jc w:val="center"/>
              <w:rPr>
                <w:rFonts w:ascii="Times New Roman" w:cs="Times New Roman" w:hAnsi="Times New Roman"/>
                <w:sz w:val="24"/>
                <w:szCs w:val="24"/>
              </w:rPr>
            </w:pPr>
            <w:r>
              <w:rPr>
                <w:rFonts w:ascii="Times New Roman" w:cs="Times New Roman" w:hAnsi="Times New Roman"/>
                <w:sz w:val="24"/>
                <w:szCs w:val="24"/>
              </w:rPr>
              <w:t>3</w:t>
            </w:r>
          </w:p>
        </w:tc>
        <w:tc>
          <w:tcPr>
            <w:cnfStyle w:val="000000100000"/>
            <w:tcW w:w="2141" w:type="dxa"/>
          </w:tcPr>
          <w:p w14:paraId="00000613">
            <w:pPr>
              <w:jc w:val="center"/>
              <w:rPr>
                <w:rFonts w:ascii="Times New Roman" w:cs="Times New Roman" w:hAnsi="Times New Roman"/>
                <w:sz w:val="24"/>
                <w:szCs w:val="24"/>
              </w:rPr>
            </w:pPr>
            <w:r>
              <w:rPr>
                <w:rFonts w:ascii="Times New Roman" w:cs="Times New Roman" w:hAnsi="Times New Roman"/>
                <w:sz w:val="24"/>
                <w:szCs w:val="24"/>
              </w:rPr>
              <w:t>28,5</w:t>
            </w:r>
          </w:p>
        </w:tc>
        <w:tc>
          <w:tcPr>
            <w:cnfStyle w:val="000000100000"/>
            <w:tcW w:w="2056" w:type="dxa"/>
          </w:tcPr>
          <w:p w14:paraId="00000614">
            <w:pPr>
              <w:jc w:val="center"/>
              <w:rPr>
                <w:rFonts w:ascii="Times New Roman" w:cs="Times New Roman" w:hAnsi="Times New Roman"/>
                <w:sz w:val="24"/>
                <w:szCs w:val="24"/>
              </w:rPr>
            </w:pPr>
            <w:r>
              <w:rPr>
                <w:rFonts w:ascii="Times New Roman" w:cs="Times New Roman" w:hAnsi="Times New Roman"/>
                <w:sz w:val="24"/>
                <w:szCs w:val="24"/>
              </w:rPr>
              <w:t>8,5</w:t>
            </w:r>
          </w:p>
        </w:tc>
        <w:tc>
          <w:tcPr>
            <w:cnfStyle w:val="000000100000"/>
            <w:tcW w:w="1259" w:type="dxa"/>
          </w:tcPr>
          <w:p w14:paraId="00000615">
            <w:pPr>
              <w:jc w:val="center"/>
              <w:rPr>
                <w:rFonts w:ascii="Times New Roman" w:cs="Times New Roman" w:hAnsi="Times New Roman"/>
                <w:sz w:val="24"/>
                <w:szCs w:val="24"/>
              </w:rPr>
            </w:pPr>
            <w:r>
              <w:rPr>
                <w:rFonts w:ascii="Times New Roman" w:cs="Times New Roman" w:hAnsi="Times New Roman"/>
                <w:sz w:val="24"/>
                <w:szCs w:val="24"/>
              </w:rPr>
              <w:t>4,8</w:t>
            </w:r>
          </w:p>
        </w:tc>
        <w:tc>
          <w:tcPr>
            <w:cnfStyle w:val="000000100000"/>
            <w:tcW w:w="1445" w:type="dxa"/>
          </w:tcPr>
          <w:p w14:paraId="00000616">
            <w:pPr>
              <w:jc w:val="center"/>
              <w:rPr>
                <w:rFonts w:ascii="Times New Roman" w:cs="Times New Roman" w:hAnsi="Times New Roman"/>
                <w:sz w:val="24"/>
                <w:szCs w:val="24"/>
              </w:rPr>
            </w:pPr>
            <w:r>
              <w:rPr>
                <w:rFonts w:ascii="Times New Roman" w:cs="Times New Roman" w:hAnsi="Times New Roman"/>
                <w:sz w:val="24"/>
                <w:szCs w:val="24"/>
              </w:rPr>
              <w:t>13,3</w:t>
            </w:r>
          </w:p>
        </w:tc>
        <w:tc>
          <w:tcPr>
            <w:cnfStyle w:val="000000100000"/>
            <w:tcW w:w="1912" w:type="dxa"/>
          </w:tcPr>
          <w:p w14:paraId="00000617">
            <w:pPr>
              <w:jc w:val="center"/>
              <w:rPr>
                <w:rFonts w:ascii="Times New Roman" w:cs="Times New Roman" w:hAnsi="Times New Roman"/>
                <w:sz w:val="24"/>
                <w:szCs w:val="24"/>
              </w:rPr>
            </w:pPr>
            <w:r>
              <w:rPr>
                <w:rFonts w:ascii="Times New Roman" w:cs="Times New Roman" w:hAnsi="Times New Roman"/>
                <w:sz w:val="24"/>
                <w:szCs w:val="24"/>
              </w:rPr>
              <w:t>20,0</w:t>
            </w:r>
          </w:p>
        </w:tc>
      </w:tr>
      <w:tr>
        <w:trPr/>
        <w:tc>
          <w:tcPr>
            <w:cnfStyle w:val="001000010000"/>
            <w:tcW w:w="597" w:type="dxa"/>
          </w:tcPr>
          <w:p w14:paraId="00000618">
            <w:pPr>
              <w:jc w:val="center"/>
              <w:rPr>
                <w:rFonts w:ascii="Times New Roman" w:cs="Times New Roman" w:hAnsi="Times New Roman"/>
                <w:sz w:val="24"/>
                <w:szCs w:val="24"/>
              </w:rPr>
            </w:pPr>
            <w:r>
              <w:rPr>
                <w:rFonts w:ascii="Times New Roman" w:cs="Times New Roman" w:hAnsi="Times New Roman"/>
                <w:sz w:val="24"/>
                <w:szCs w:val="24"/>
              </w:rPr>
              <w:t>4</w:t>
            </w:r>
          </w:p>
        </w:tc>
        <w:tc>
          <w:tcPr>
            <w:cnfStyle w:val="000000010000"/>
            <w:tcW w:w="2141" w:type="dxa"/>
          </w:tcPr>
          <w:p w14:paraId="00000619">
            <w:pPr>
              <w:jc w:val="center"/>
              <w:rPr>
                <w:rFonts w:ascii="Times New Roman" w:cs="Times New Roman" w:hAnsi="Times New Roman"/>
                <w:sz w:val="24"/>
                <w:szCs w:val="24"/>
              </w:rPr>
            </w:pPr>
            <w:r>
              <w:rPr>
                <w:rFonts w:ascii="Times New Roman" w:cs="Times New Roman" w:hAnsi="Times New Roman"/>
                <w:sz w:val="24"/>
                <w:szCs w:val="24"/>
              </w:rPr>
              <w:t>20,0</w:t>
            </w:r>
          </w:p>
        </w:tc>
        <w:tc>
          <w:tcPr>
            <w:cnfStyle w:val="000000010000"/>
            <w:tcW w:w="2056" w:type="dxa"/>
          </w:tcPr>
          <w:p w14:paraId="0000061A">
            <w:pPr>
              <w:jc w:val="center"/>
              <w:rPr>
                <w:rFonts w:ascii="Times New Roman" w:cs="Times New Roman" w:hAnsi="Times New Roman"/>
                <w:sz w:val="24"/>
                <w:szCs w:val="24"/>
              </w:rPr>
            </w:pPr>
            <w:r>
              <w:rPr>
                <w:rFonts w:ascii="Times New Roman" w:cs="Times New Roman" w:hAnsi="Times New Roman"/>
                <w:sz w:val="24"/>
                <w:szCs w:val="24"/>
              </w:rPr>
              <w:t>10,0</w:t>
            </w:r>
          </w:p>
        </w:tc>
        <w:tc>
          <w:tcPr>
            <w:cnfStyle w:val="000000010000"/>
            <w:tcW w:w="1259" w:type="dxa"/>
          </w:tcPr>
          <w:p w14:paraId="0000061B">
            <w:pPr>
              <w:jc w:val="center"/>
              <w:rPr>
                <w:rFonts w:ascii="Times New Roman" w:cs="Times New Roman" w:hAnsi="Times New Roman"/>
                <w:sz w:val="24"/>
                <w:szCs w:val="24"/>
              </w:rPr>
            </w:pPr>
            <w:r>
              <w:rPr>
                <w:rFonts w:ascii="Times New Roman" w:cs="Times New Roman" w:hAnsi="Times New Roman"/>
                <w:sz w:val="24"/>
                <w:szCs w:val="24"/>
              </w:rPr>
              <w:t>3,4</w:t>
            </w:r>
          </w:p>
        </w:tc>
        <w:tc>
          <w:tcPr>
            <w:cnfStyle w:val="000000010000"/>
            <w:tcW w:w="1445" w:type="dxa"/>
          </w:tcPr>
          <w:p w14:paraId="0000061C">
            <w:pPr>
              <w:jc w:val="center"/>
              <w:rPr>
                <w:rFonts w:ascii="Times New Roman" w:cs="Times New Roman" w:hAnsi="Times New Roman"/>
                <w:sz w:val="24"/>
                <w:szCs w:val="24"/>
              </w:rPr>
            </w:pPr>
            <w:r>
              <w:rPr>
                <w:rFonts w:ascii="Times New Roman" w:cs="Times New Roman" w:hAnsi="Times New Roman"/>
                <w:sz w:val="24"/>
                <w:szCs w:val="24"/>
              </w:rPr>
              <w:t>13,4</w:t>
            </w:r>
          </w:p>
        </w:tc>
        <w:tc>
          <w:tcPr>
            <w:cnfStyle w:val="000000010000"/>
            <w:tcW w:w="1912" w:type="dxa"/>
          </w:tcPr>
          <w:p w14:paraId="0000061D">
            <w:pPr>
              <w:jc w:val="center"/>
              <w:rPr>
                <w:rFonts w:ascii="Times New Roman" w:cs="Times New Roman" w:hAnsi="Times New Roman"/>
                <w:sz w:val="24"/>
                <w:szCs w:val="24"/>
              </w:rPr>
            </w:pPr>
            <w:r>
              <w:rPr>
                <w:rFonts w:ascii="Times New Roman" w:cs="Times New Roman" w:hAnsi="Times New Roman"/>
                <w:sz w:val="24"/>
                <w:szCs w:val="24"/>
              </w:rPr>
              <w:t>10,0</w:t>
            </w:r>
          </w:p>
        </w:tc>
      </w:tr>
      <w:tr>
        <w:trPr/>
        <w:tc>
          <w:tcPr>
            <w:cnfStyle w:val="001000100000"/>
            <w:tcW w:w="597" w:type="dxa"/>
          </w:tcPr>
          <w:p w14:paraId="0000061E">
            <w:pPr>
              <w:jc w:val="center"/>
              <w:rPr>
                <w:rFonts w:ascii="Times New Roman" w:cs="Times New Roman" w:hAnsi="Times New Roman"/>
                <w:sz w:val="24"/>
                <w:szCs w:val="24"/>
              </w:rPr>
            </w:pPr>
            <w:r>
              <w:rPr>
                <w:rFonts w:ascii="Times New Roman" w:cs="Times New Roman" w:hAnsi="Times New Roman"/>
                <w:sz w:val="24"/>
                <w:szCs w:val="24"/>
              </w:rPr>
              <w:t>5</w:t>
            </w:r>
          </w:p>
        </w:tc>
        <w:tc>
          <w:tcPr>
            <w:cnfStyle w:val="000000100000"/>
            <w:tcW w:w="2141" w:type="dxa"/>
          </w:tcPr>
          <w:p w14:paraId="0000061F">
            <w:pPr>
              <w:jc w:val="center"/>
              <w:rPr>
                <w:rFonts w:ascii="Times New Roman" w:cs="Times New Roman" w:hAnsi="Times New Roman"/>
                <w:sz w:val="24"/>
                <w:szCs w:val="24"/>
              </w:rPr>
            </w:pPr>
            <w:r>
              <w:rPr>
                <w:rFonts w:ascii="Times New Roman" w:cs="Times New Roman" w:hAnsi="Times New Roman"/>
                <w:sz w:val="24"/>
                <w:szCs w:val="24"/>
              </w:rPr>
              <w:t>10,0</w:t>
            </w:r>
          </w:p>
        </w:tc>
        <w:tc>
          <w:tcPr>
            <w:cnfStyle w:val="000000100000"/>
            <w:tcW w:w="2056" w:type="dxa"/>
          </w:tcPr>
          <w:p w14:paraId="00000620">
            <w:pPr>
              <w:jc w:val="center"/>
              <w:rPr>
                <w:rFonts w:ascii="Times New Roman" w:cs="Times New Roman" w:hAnsi="Times New Roman"/>
                <w:sz w:val="24"/>
                <w:szCs w:val="24"/>
              </w:rPr>
            </w:pPr>
            <w:r>
              <w:rPr>
                <w:rFonts w:ascii="Times New Roman" w:cs="Times New Roman" w:hAnsi="Times New Roman"/>
                <w:sz w:val="24"/>
                <w:szCs w:val="24"/>
              </w:rPr>
              <w:t>10,0</w:t>
            </w:r>
          </w:p>
        </w:tc>
        <w:tc>
          <w:tcPr>
            <w:cnfStyle w:val="000000100000"/>
            <w:tcW w:w="1259" w:type="dxa"/>
          </w:tcPr>
          <w:p w14:paraId="00000621">
            <w:pPr>
              <w:jc w:val="center"/>
              <w:rPr>
                <w:rFonts w:ascii="Times New Roman" w:cs="Times New Roman" w:hAnsi="Times New Roman"/>
                <w:sz w:val="24"/>
                <w:szCs w:val="24"/>
              </w:rPr>
            </w:pPr>
            <w:r>
              <w:rPr>
                <w:rFonts w:ascii="Times New Roman" w:cs="Times New Roman" w:hAnsi="Times New Roman"/>
                <w:sz w:val="24"/>
                <w:szCs w:val="24"/>
              </w:rPr>
              <w:t>1,7</w:t>
            </w:r>
          </w:p>
        </w:tc>
        <w:tc>
          <w:tcPr>
            <w:cnfStyle w:val="000000100000"/>
            <w:tcW w:w="1445" w:type="dxa"/>
          </w:tcPr>
          <w:p w14:paraId="00000622">
            <w:pPr>
              <w:jc w:val="center"/>
              <w:rPr>
                <w:rFonts w:ascii="Times New Roman" w:cs="Times New Roman" w:hAnsi="Times New Roman"/>
                <w:sz w:val="24"/>
                <w:szCs w:val="24"/>
              </w:rPr>
            </w:pPr>
            <w:r>
              <w:rPr>
                <w:rFonts w:ascii="Times New Roman" w:cs="Times New Roman" w:hAnsi="Times New Roman"/>
                <w:sz w:val="24"/>
                <w:szCs w:val="24"/>
              </w:rPr>
              <w:t>11,7</w:t>
            </w:r>
          </w:p>
        </w:tc>
        <w:tc>
          <w:tcPr>
            <w:cnfStyle w:val="000000100000"/>
            <w:tcW w:w="1912" w:type="dxa"/>
          </w:tcPr>
          <w:p w14:paraId="00000623">
            <w:pPr>
              <w:jc w:val="center"/>
              <w:rPr>
                <w:rFonts w:ascii="Times New Roman" w:cs="Times New Roman" w:hAnsi="Times New Roman"/>
                <w:sz w:val="24"/>
                <w:szCs w:val="24"/>
              </w:rPr>
            </w:pPr>
            <w:r>
              <w:rPr>
                <w:rFonts w:ascii="Times New Roman" w:cs="Times New Roman" w:hAnsi="Times New Roman"/>
                <w:sz w:val="24"/>
                <w:szCs w:val="24"/>
              </w:rPr>
              <w:t>0</w:t>
            </w:r>
          </w:p>
        </w:tc>
      </w:tr>
    </w:tbl>
    <w:p w14:paraId="00000624">
      <w:pPr>
        <w:spacing w:beforeAutospacing="0" w:after="0" w:afterAutospacing="0" w:line="360" w:lineRule="auto"/>
        <w:ind w:firstLine="709"/>
        <w:jc w:val="both"/>
        <w:rPr>
          <w:rFonts w:ascii="Times New Roman" w:cs="Times New Roman" w:hAnsi="Times New Roman"/>
          <w:i/>
          <w:iCs/>
          <w:sz w:val="28"/>
          <w:szCs w:val="28"/>
        </w:rPr>
      </w:pPr>
    </w:p>
    <w:p w14:paraId="0000062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Проценты по кредиту учтены в постоянных затратах (строка «Прочие расходы»). При заявленной чистой прибыли (&gt;34 млн руб. в первый год) выплаты по кредиту (около 13 млн руб. в год) не создают критической нагрузки.</w:t>
      </w:r>
    </w:p>
    <w:p w14:paraId="0000062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Для оценки способности предприятия обслуживать долговые обязательства составлен прогноз движения денежных средств на первые 3 года (таблица 3.13).</w:t>
      </w:r>
    </w:p>
    <w:p w14:paraId="00000627">
      <w:pPr>
        <w:spacing w:beforeAutospacing="0" w:after="0" w:afterAutospacing="0" w:line="360" w:lineRule="auto"/>
        <w:jc w:val="both"/>
        <w:rPr>
          <w:rFonts w:ascii="Times New Roman" w:cs="Times New Roman" w:hAnsi="Times New Roman"/>
          <w:sz w:val="28"/>
          <w:szCs w:val="28"/>
        </w:rPr>
      </w:pPr>
      <w:r>
        <w:rPr>
          <w:rFonts w:ascii="Times New Roman" w:cs="Times New Roman" w:hAnsi="Times New Roman"/>
          <w:bCs/>
          <w:sz w:val="28"/>
          <w:szCs w:val="28"/>
        </w:rPr>
        <w:t>Таблица 3.13 – Прогноз движения денежных средств</w:t>
      </w:r>
      <w:r>
        <w:rPr>
          <w:rFonts w:ascii="Times New Roman" w:cs="Times New Roman" w:hAnsi="Times New Roman"/>
          <w:bCs/>
          <w:sz w:val="28"/>
          <w:szCs w:val="28"/>
        </w:rPr>
        <w:t>, млн руб.</w:t>
      </w:r>
    </w:p>
    <w:tbl>
      <w:tblPr>
        <w:tblStyle w:val="TableGrid"/>
        <w:tblW w:w="9419" w:type="dxa"/>
        <w:tblInd w:w="88" w:type="dxa"/>
        <w:tblLook w:val="04A0"/>
      </w:tblPr>
      <w:tblGrid>
        <w:gridCol w:w="5273"/>
        <w:gridCol w:w="1414"/>
        <w:gridCol w:w="1284"/>
        <w:gridCol w:w="1448"/>
      </w:tblGrid>
      <w:tr>
        <w:trPr/>
        <w:tc>
          <w:tcPr>
            <w:cnfStyle w:val="101000000000"/>
            <w:tcW w:w="5273" w:type="dxa"/>
          </w:tcPr>
          <w:p w14:paraId="00000628">
            <w:pPr>
              <w:jc w:val="center"/>
              <w:rPr>
                <w:rFonts w:ascii="Times New Roman" w:cs="Times New Roman" w:hAnsi="Times New Roman"/>
                <w:sz w:val="24"/>
                <w:szCs w:val="24"/>
              </w:rPr>
            </w:pPr>
            <w:r>
              <w:rPr>
                <w:rFonts w:ascii="Times New Roman" w:cs="Times New Roman" w:hAnsi="Times New Roman"/>
                <w:sz w:val="24"/>
                <w:szCs w:val="24"/>
              </w:rPr>
              <w:t>Показатель</w:t>
            </w:r>
          </w:p>
        </w:tc>
        <w:tc>
          <w:tcPr>
            <w:cnfStyle w:val="100000000000"/>
            <w:tcW w:w="1414" w:type="dxa"/>
          </w:tcPr>
          <w:p w14:paraId="00000629">
            <w:pPr>
              <w:jc w:val="center"/>
              <w:rPr>
                <w:rFonts w:ascii="Times New Roman" w:cs="Times New Roman" w:hAnsi="Times New Roman"/>
                <w:sz w:val="24"/>
                <w:szCs w:val="24"/>
              </w:rPr>
            </w:pPr>
            <w:r>
              <w:rPr>
                <w:rFonts w:ascii="Times New Roman" w:cs="Times New Roman" w:hAnsi="Times New Roman"/>
                <w:sz w:val="24"/>
                <w:szCs w:val="24"/>
              </w:rPr>
              <w:t>Год 1</w:t>
            </w:r>
          </w:p>
        </w:tc>
        <w:tc>
          <w:tcPr>
            <w:cnfStyle w:val="100000000000"/>
            <w:tcW w:w="1284" w:type="dxa"/>
          </w:tcPr>
          <w:p w14:paraId="0000062A">
            <w:pPr>
              <w:jc w:val="center"/>
              <w:rPr>
                <w:rFonts w:ascii="Times New Roman" w:cs="Times New Roman" w:hAnsi="Times New Roman"/>
                <w:sz w:val="24"/>
                <w:szCs w:val="24"/>
              </w:rPr>
            </w:pPr>
            <w:r>
              <w:rPr>
                <w:rFonts w:ascii="Times New Roman" w:cs="Times New Roman" w:hAnsi="Times New Roman"/>
                <w:sz w:val="24"/>
                <w:szCs w:val="24"/>
              </w:rPr>
              <w:t>Год 2</w:t>
            </w:r>
          </w:p>
        </w:tc>
        <w:tc>
          <w:tcPr>
            <w:cnfStyle w:val="100000000000"/>
            <w:tcW w:w="1448" w:type="dxa"/>
          </w:tcPr>
          <w:p w14:paraId="0000062B">
            <w:pPr>
              <w:jc w:val="center"/>
              <w:rPr>
                <w:rFonts w:ascii="Times New Roman" w:cs="Times New Roman" w:hAnsi="Times New Roman"/>
                <w:sz w:val="24"/>
                <w:szCs w:val="24"/>
              </w:rPr>
            </w:pPr>
            <w:r>
              <w:rPr>
                <w:rFonts w:ascii="Times New Roman" w:cs="Times New Roman" w:hAnsi="Times New Roman"/>
                <w:sz w:val="24"/>
                <w:szCs w:val="24"/>
              </w:rPr>
              <w:t>Год 3</w:t>
            </w:r>
          </w:p>
        </w:tc>
      </w:tr>
      <w:tr>
        <w:trPr/>
        <w:tc>
          <w:tcPr>
            <w:cnfStyle w:val="001000100000"/>
            <w:tcW w:w="9419" w:type="dxa"/>
            <w:gridSpan w:val="4"/>
          </w:tcPr>
          <w:p w14:paraId="0000062C">
            <w:pPr>
              <w:jc w:val="center"/>
              <w:rPr>
                <w:rFonts w:ascii="Times New Roman" w:cs="Times New Roman" w:hAnsi="Times New Roman"/>
                <w:sz w:val="24"/>
                <w:szCs w:val="24"/>
              </w:rPr>
            </w:pPr>
            <w:r>
              <w:rPr>
                <w:rFonts w:ascii="Times New Roman" w:cs="Times New Roman" w:hAnsi="Times New Roman"/>
                <w:bCs/>
                <w:sz w:val="24"/>
                <w:szCs w:val="24"/>
              </w:rPr>
              <w:t>Поступления</w:t>
            </w:r>
          </w:p>
        </w:tc>
      </w:tr>
      <w:tr>
        <w:trPr/>
        <w:tc>
          <w:tcPr>
            <w:cnfStyle w:val="001000010000"/>
            <w:tcW w:w="5273" w:type="dxa"/>
          </w:tcPr>
          <w:p w14:paraId="0000062D">
            <w:pPr>
              <w:jc w:val="center"/>
              <w:rPr>
                <w:rFonts w:ascii="Times New Roman" w:cs="Times New Roman" w:hAnsi="Times New Roman"/>
                <w:sz w:val="24"/>
                <w:szCs w:val="24"/>
              </w:rPr>
            </w:pPr>
            <w:r>
              <w:rPr>
                <w:rFonts w:ascii="Times New Roman" w:cs="Times New Roman" w:hAnsi="Times New Roman"/>
                <w:sz w:val="24"/>
                <w:szCs w:val="24"/>
              </w:rPr>
              <w:t>Выручка (средняя отсрочка 30 дней)</w:t>
            </w:r>
          </w:p>
        </w:tc>
        <w:tc>
          <w:tcPr>
            <w:cnfStyle w:val="000000010000"/>
            <w:tcW w:w="1414" w:type="dxa"/>
          </w:tcPr>
          <w:p w14:paraId="0000062E">
            <w:pPr>
              <w:jc w:val="center"/>
              <w:rPr>
                <w:rFonts w:ascii="Times New Roman" w:cs="Times New Roman" w:hAnsi="Times New Roman"/>
                <w:sz w:val="24"/>
                <w:szCs w:val="24"/>
              </w:rPr>
            </w:pPr>
            <w:r>
              <w:rPr>
                <w:rFonts w:ascii="Times New Roman" w:cs="Times New Roman" w:hAnsi="Times New Roman"/>
                <w:sz w:val="24"/>
                <w:szCs w:val="24"/>
              </w:rPr>
              <w:t>168</w:t>
            </w:r>
          </w:p>
        </w:tc>
        <w:tc>
          <w:tcPr>
            <w:cnfStyle w:val="000000010000"/>
            <w:tcW w:w="1284" w:type="dxa"/>
          </w:tcPr>
          <w:p w14:paraId="0000062F">
            <w:pPr>
              <w:jc w:val="center"/>
              <w:rPr>
                <w:rFonts w:ascii="Times New Roman" w:cs="Times New Roman" w:hAnsi="Times New Roman"/>
                <w:sz w:val="24"/>
                <w:szCs w:val="24"/>
              </w:rPr>
            </w:pPr>
            <w:r>
              <w:rPr>
                <w:rFonts w:ascii="Times New Roman" w:cs="Times New Roman" w:hAnsi="Times New Roman"/>
                <w:sz w:val="24"/>
                <w:szCs w:val="24"/>
              </w:rPr>
              <w:t>232</w:t>
            </w:r>
          </w:p>
        </w:tc>
        <w:tc>
          <w:tcPr>
            <w:cnfStyle w:val="000000010000"/>
            <w:tcW w:w="1448" w:type="dxa"/>
          </w:tcPr>
          <w:p w14:paraId="00000630">
            <w:pPr>
              <w:jc w:val="center"/>
              <w:rPr>
                <w:rFonts w:ascii="Times New Roman" w:cs="Times New Roman" w:hAnsi="Times New Roman"/>
                <w:sz w:val="24"/>
                <w:szCs w:val="24"/>
              </w:rPr>
            </w:pPr>
            <w:r>
              <w:rPr>
                <w:rFonts w:ascii="Times New Roman" w:cs="Times New Roman" w:hAnsi="Times New Roman"/>
                <w:sz w:val="24"/>
                <w:szCs w:val="24"/>
              </w:rPr>
              <w:t>270</w:t>
            </w:r>
          </w:p>
        </w:tc>
      </w:tr>
      <w:tr>
        <w:trPr/>
        <w:tc>
          <w:tcPr>
            <w:cnfStyle w:val="001000100000"/>
            <w:tcW w:w="5273" w:type="dxa"/>
          </w:tcPr>
          <w:p w14:paraId="00000631">
            <w:pPr>
              <w:jc w:val="center"/>
              <w:rPr>
                <w:rFonts w:ascii="Times New Roman" w:cs="Times New Roman" w:hAnsi="Times New Roman"/>
                <w:sz w:val="24"/>
                <w:szCs w:val="24"/>
              </w:rPr>
            </w:pPr>
            <w:r>
              <w:rPr>
                <w:rFonts w:ascii="Times New Roman" w:cs="Times New Roman" w:hAnsi="Times New Roman"/>
                <w:sz w:val="24"/>
                <w:szCs w:val="24"/>
              </w:rPr>
              <w:t>Прочие поступления (субсидии, возврат НДС)</w:t>
            </w:r>
          </w:p>
        </w:tc>
        <w:tc>
          <w:tcPr>
            <w:cnfStyle w:val="000000100000"/>
            <w:tcW w:w="1414" w:type="dxa"/>
          </w:tcPr>
          <w:p w14:paraId="00000632">
            <w:pPr>
              <w:jc w:val="center"/>
              <w:rPr>
                <w:rFonts w:ascii="Times New Roman" w:cs="Times New Roman" w:hAnsi="Times New Roman"/>
                <w:sz w:val="24"/>
                <w:szCs w:val="24"/>
              </w:rPr>
            </w:pPr>
            <w:r>
              <w:rPr>
                <w:rFonts w:ascii="Times New Roman" w:cs="Times New Roman" w:hAnsi="Times New Roman"/>
                <w:sz w:val="24"/>
                <w:szCs w:val="24"/>
              </w:rPr>
              <w:t>10</w:t>
            </w:r>
          </w:p>
        </w:tc>
        <w:tc>
          <w:tcPr>
            <w:cnfStyle w:val="000000100000"/>
            <w:tcW w:w="1284" w:type="dxa"/>
          </w:tcPr>
          <w:p w14:paraId="00000633">
            <w:pPr>
              <w:jc w:val="center"/>
              <w:rPr>
                <w:rFonts w:ascii="Times New Roman" w:cs="Times New Roman" w:hAnsi="Times New Roman"/>
                <w:sz w:val="24"/>
                <w:szCs w:val="24"/>
              </w:rPr>
            </w:pPr>
            <w:r>
              <w:rPr>
                <w:rFonts w:ascii="Times New Roman" w:cs="Times New Roman" w:hAnsi="Times New Roman"/>
                <w:sz w:val="24"/>
                <w:szCs w:val="24"/>
              </w:rPr>
              <w:t>5</w:t>
            </w:r>
          </w:p>
        </w:tc>
        <w:tc>
          <w:tcPr>
            <w:cnfStyle w:val="000000100000"/>
            <w:tcW w:w="1448" w:type="dxa"/>
          </w:tcPr>
          <w:p w14:paraId="00000634">
            <w:pPr>
              <w:jc w:val="center"/>
              <w:rPr>
                <w:rFonts w:ascii="Times New Roman" w:cs="Times New Roman" w:hAnsi="Times New Roman"/>
                <w:sz w:val="24"/>
                <w:szCs w:val="24"/>
              </w:rPr>
            </w:pPr>
            <w:r>
              <w:rPr>
                <w:rFonts w:ascii="Times New Roman" w:cs="Times New Roman" w:hAnsi="Times New Roman"/>
                <w:sz w:val="24"/>
                <w:szCs w:val="24"/>
              </w:rPr>
              <w:t>0</w:t>
            </w:r>
          </w:p>
        </w:tc>
      </w:tr>
      <w:tr>
        <w:trPr/>
        <w:tc>
          <w:tcPr>
            <w:cnfStyle w:val="001000010000"/>
            <w:tcW w:w="5273" w:type="dxa"/>
          </w:tcPr>
          <w:p w14:paraId="00000635">
            <w:pPr>
              <w:jc w:val="center"/>
              <w:rPr>
                <w:rFonts w:ascii="Times New Roman" w:cs="Times New Roman" w:hAnsi="Times New Roman"/>
                <w:sz w:val="24"/>
                <w:szCs w:val="24"/>
              </w:rPr>
            </w:pPr>
            <w:r>
              <w:rPr>
                <w:rFonts w:ascii="Times New Roman" w:cs="Times New Roman" w:hAnsi="Times New Roman"/>
                <w:sz w:val="24"/>
                <w:szCs w:val="24"/>
              </w:rPr>
              <w:t>Итого поступлений</w:t>
            </w:r>
          </w:p>
        </w:tc>
        <w:tc>
          <w:tcPr>
            <w:cnfStyle w:val="000000010000"/>
            <w:tcW w:w="1414" w:type="dxa"/>
          </w:tcPr>
          <w:p w14:paraId="00000636">
            <w:pPr>
              <w:jc w:val="center"/>
              <w:rPr>
                <w:rFonts w:ascii="Times New Roman" w:cs="Times New Roman" w:hAnsi="Times New Roman"/>
                <w:sz w:val="24"/>
                <w:szCs w:val="24"/>
              </w:rPr>
            </w:pPr>
            <w:r>
              <w:rPr>
                <w:rFonts w:ascii="Times New Roman" w:cs="Times New Roman" w:hAnsi="Times New Roman"/>
                <w:sz w:val="24"/>
                <w:szCs w:val="24"/>
              </w:rPr>
              <w:t>178</w:t>
            </w:r>
          </w:p>
        </w:tc>
        <w:tc>
          <w:tcPr>
            <w:cnfStyle w:val="000000010000"/>
            <w:tcW w:w="1284" w:type="dxa"/>
          </w:tcPr>
          <w:p w14:paraId="00000637">
            <w:pPr>
              <w:jc w:val="center"/>
              <w:rPr>
                <w:rFonts w:ascii="Times New Roman" w:cs="Times New Roman" w:hAnsi="Times New Roman"/>
                <w:sz w:val="24"/>
                <w:szCs w:val="24"/>
              </w:rPr>
            </w:pPr>
            <w:r>
              <w:rPr>
                <w:rFonts w:ascii="Times New Roman" w:cs="Times New Roman" w:hAnsi="Times New Roman"/>
                <w:sz w:val="24"/>
                <w:szCs w:val="24"/>
              </w:rPr>
              <w:t>237</w:t>
            </w:r>
          </w:p>
        </w:tc>
        <w:tc>
          <w:tcPr>
            <w:cnfStyle w:val="000000010000"/>
            <w:tcW w:w="1448" w:type="dxa"/>
          </w:tcPr>
          <w:p w14:paraId="00000638">
            <w:pPr>
              <w:jc w:val="center"/>
              <w:rPr>
                <w:rFonts w:ascii="Times New Roman" w:cs="Times New Roman" w:hAnsi="Times New Roman"/>
                <w:sz w:val="24"/>
                <w:szCs w:val="24"/>
              </w:rPr>
            </w:pPr>
            <w:r>
              <w:rPr>
                <w:rFonts w:ascii="Times New Roman" w:cs="Times New Roman" w:hAnsi="Times New Roman"/>
                <w:sz w:val="24"/>
                <w:szCs w:val="24"/>
              </w:rPr>
              <w:t>270</w:t>
            </w:r>
          </w:p>
        </w:tc>
      </w:tr>
      <w:tr>
        <w:trPr/>
        <w:tc>
          <w:tcPr>
            <w:cnfStyle w:val="001000100000"/>
            <w:tcW w:w="5273" w:type="dxa"/>
          </w:tcPr>
          <w:p w14:paraId="00000639">
            <w:pPr>
              <w:jc w:val="center"/>
              <w:rPr>
                <w:rFonts w:ascii="Times New Roman" w:cs="Times New Roman" w:hAnsi="Times New Roman"/>
                <w:sz w:val="24"/>
                <w:szCs w:val="24"/>
              </w:rPr>
            </w:pPr>
            <w:r>
              <w:rPr>
                <w:rFonts w:ascii="Times New Roman" w:cs="Times New Roman" w:hAnsi="Times New Roman"/>
                <w:bCs/>
                <w:sz w:val="24"/>
                <w:szCs w:val="24"/>
              </w:rPr>
              <w:t>Платежи</w:t>
            </w:r>
          </w:p>
        </w:tc>
        <w:tc>
          <w:tcPr>
            <w:cnfStyle w:val="000000100000"/>
            <w:tcW w:w="1414" w:type="dxa"/>
          </w:tcPr>
          <w:p w14:paraId="0000063A">
            <w:pPr>
              <w:jc w:val="center"/>
              <w:rPr>
                <w:rFonts w:ascii="Times New Roman" w:cs="Times New Roman" w:hAnsi="Times New Roman"/>
                <w:sz w:val="24"/>
                <w:szCs w:val="24"/>
              </w:rPr>
            </w:pPr>
          </w:p>
        </w:tc>
        <w:tc>
          <w:tcPr>
            <w:cnfStyle w:val="000000100000"/>
            <w:tcW w:w="1284" w:type="dxa"/>
          </w:tcPr>
          <w:p w14:paraId="0000063B">
            <w:pPr>
              <w:jc w:val="center"/>
              <w:rPr>
                <w:rFonts w:ascii="Times New Roman" w:cs="Times New Roman" w:hAnsi="Times New Roman"/>
                <w:sz w:val="24"/>
                <w:szCs w:val="24"/>
              </w:rPr>
            </w:pPr>
          </w:p>
        </w:tc>
        <w:tc>
          <w:tcPr>
            <w:cnfStyle w:val="000000100000"/>
            <w:tcW w:w="1448" w:type="dxa"/>
          </w:tcPr>
          <w:p w14:paraId="0000063C">
            <w:pPr>
              <w:jc w:val="center"/>
              <w:rPr>
                <w:rFonts w:ascii="Times New Roman" w:cs="Times New Roman" w:hAnsi="Times New Roman"/>
                <w:sz w:val="24"/>
                <w:szCs w:val="24"/>
              </w:rPr>
            </w:pPr>
          </w:p>
        </w:tc>
      </w:tr>
      <w:tr>
        <w:trPr/>
        <w:tc>
          <w:tcPr>
            <w:cnfStyle w:val="001000010000"/>
            <w:tcW w:w="5273" w:type="dxa"/>
          </w:tcPr>
          <w:p w14:paraId="0000063D">
            <w:pPr>
              <w:jc w:val="center"/>
              <w:rPr>
                <w:rFonts w:ascii="Times New Roman" w:cs="Times New Roman" w:hAnsi="Times New Roman"/>
                <w:sz w:val="24"/>
                <w:szCs w:val="24"/>
              </w:rPr>
            </w:pPr>
            <w:r>
              <w:rPr>
                <w:rFonts w:ascii="Times New Roman" w:cs="Times New Roman" w:hAnsi="Times New Roman"/>
                <w:sz w:val="24"/>
                <w:szCs w:val="24"/>
              </w:rPr>
              <w:t>Сырьё и материалы</w:t>
            </w:r>
          </w:p>
        </w:tc>
        <w:tc>
          <w:tcPr>
            <w:cnfStyle w:val="000000010000"/>
            <w:tcW w:w="1414" w:type="dxa"/>
          </w:tcPr>
          <w:p w14:paraId="0000063E">
            <w:pPr>
              <w:jc w:val="center"/>
              <w:rPr>
                <w:rFonts w:ascii="Times New Roman" w:cs="Times New Roman" w:hAnsi="Times New Roman"/>
                <w:sz w:val="24"/>
                <w:szCs w:val="24"/>
              </w:rPr>
            </w:pPr>
            <w:r>
              <w:rPr>
                <w:rFonts w:ascii="Times New Roman" w:cs="Times New Roman" w:hAnsi="Times New Roman"/>
                <w:sz w:val="24"/>
                <w:szCs w:val="24"/>
              </w:rPr>
              <w:t>–85</w:t>
            </w:r>
          </w:p>
        </w:tc>
        <w:tc>
          <w:tcPr>
            <w:cnfStyle w:val="000000010000"/>
            <w:tcW w:w="1284" w:type="dxa"/>
          </w:tcPr>
          <w:p w14:paraId="0000063F">
            <w:pPr>
              <w:jc w:val="center"/>
              <w:rPr>
                <w:rFonts w:ascii="Times New Roman" w:cs="Times New Roman" w:hAnsi="Times New Roman"/>
                <w:sz w:val="24"/>
                <w:szCs w:val="24"/>
              </w:rPr>
            </w:pPr>
            <w:r>
              <w:rPr>
                <w:rFonts w:ascii="Times New Roman" w:cs="Times New Roman" w:hAnsi="Times New Roman"/>
                <w:sz w:val="24"/>
                <w:szCs w:val="24"/>
              </w:rPr>
              <w:t>–115</w:t>
            </w:r>
          </w:p>
        </w:tc>
        <w:tc>
          <w:tcPr>
            <w:cnfStyle w:val="000000010000"/>
            <w:tcW w:w="1448" w:type="dxa"/>
          </w:tcPr>
          <w:p w14:paraId="00000640">
            <w:pPr>
              <w:jc w:val="center"/>
              <w:rPr>
                <w:rFonts w:ascii="Times New Roman" w:cs="Times New Roman" w:hAnsi="Times New Roman"/>
                <w:sz w:val="24"/>
                <w:szCs w:val="24"/>
              </w:rPr>
            </w:pPr>
            <w:r>
              <w:rPr>
                <w:rFonts w:ascii="Times New Roman" w:cs="Times New Roman" w:hAnsi="Times New Roman"/>
                <w:sz w:val="24"/>
                <w:szCs w:val="24"/>
              </w:rPr>
              <w:t>–132</w:t>
            </w:r>
          </w:p>
        </w:tc>
      </w:tr>
      <w:tr>
        <w:trPr/>
        <w:tc>
          <w:tcPr>
            <w:cnfStyle w:val="001000100000"/>
            <w:tcW w:w="5273" w:type="dxa"/>
          </w:tcPr>
          <w:p w14:paraId="00000641">
            <w:pPr>
              <w:jc w:val="center"/>
              <w:rPr>
                <w:rFonts w:ascii="Times New Roman" w:cs="Times New Roman" w:hAnsi="Times New Roman"/>
                <w:sz w:val="24"/>
                <w:szCs w:val="24"/>
              </w:rPr>
            </w:pPr>
            <w:r>
              <w:rPr>
                <w:rFonts w:ascii="Times New Roman" w:cs="Times New Roman" w:hAnsi="Times New Roman"/>
                <w:sz w:val="24"/>
                <w:szCs w:val="24"/>
              </w:rPr>
              <w:t>ФОТ с отчислениями</w:t>
            </w:r>
          </w:p>
        </w:tc>
        <w:tc>
          <w:tcPr>
            <w:cnfStyle w:val="000000100000"/>
            <w:tcW w:w="1414" w:type="dxa"/>
          </w:tcPr>
          <w:p w14:paraId="00000642">
            <w:pPr>
              <w:jc w:val="center"/>
              <w:rPr>
                <w:rFonts w:ascii="Times New Roman" w:cs="Times New Roman" w:hAnsi="Times New Roman"/>
                <w:sz w:val="24"/>
                <w:szCs w:val="24"/>
              </w:rPr>
            </w:pPr>
            <w:r>
              <w:rPr>
                <w:rFonts w:ascii="Times New Roman" w:cs="Times New Roman" w:hAnsi="Times New Roman"/>
                <w:sz w:val="24"/>
                <w:szCs w:val="24"/>
              </w:rPr>
              <w:t>–12</w:t>
            </w:r>
          </w:p>
        </w:tc>
        <w:tc>
          <w:tcPr>
            <w:cnfStyle w:val="000000100000"/>
            <w:tcW w:w="1284" w:type="dxa"/>
          </w:tcPr>
          <w:p w14:paraId="00000643">
            <w:pPr>
              <w:jc w:val="center"/>
              <w:rPr>
                <w:rFonts w:ascii="Times New Roman" w:cs="Times New Roman" w:hAnsi="Times New Roman"/>
                <w:sz w:val="24"/>
                <w:szCs w:val="24"/>
              </w:rPr>
            </w:pPr>
            <w:r>
              <w:rPr>
                <w:rFonts w:ascii="Times New Roman" w:cs="Times New Roman" w:hAnsi="Times New Roman"/>
                <w:sz w:val="24"/>
                <w:szCs w:val="24"/>
              </w:rPr>
              <w:t>–13</w:t>
            </w:r>
          </w:p>
        </w:tc>
        <w:tc>
          <w:tcPr>
            <w:cnfStyle w:val="000000100000"/>
            <w:tcW w:w="1448" w:type="dxa"/>
          </w:tcPr>
          <w:p w14:paraId="00000644">
            <w:pPr>
              <w:jc w:val="center"/>
              <w:rPr>
                <w:rFonts w:ascii="Times New Roman" w:cs="Times New Roman" w:hAnsi="Times New Roman"/>
                <w:sz w:val="24"/>
                <w:szCs w:val="24"/>
              </w:rPr>
            </w:pPr>
            <w:r>
              <w:rPr>
                <w:rFonts w:ascii="Times New Roman" w:cs="Times New Roman" w:hAnsi="Times New Roman"/>
                <w:sz w:val="24"/>
                <w:szCs w:val="24"/>
              </w:rPr>
              <w:t>–14</w:t>
            </w:r>
          </w:p>
        </w:tc>
      </w:tr>
      <w:tr>
        <w:trPr/>
        <w:tc>
          <w:tcPr>
            <w:cnfStyle w:val="001000010000"/>
            <w:tcW w:w="5273" w:type="dxa"/>
          </w:tcPr>
          <w:p w14:paraId="00000645">
            <w:pPr>
              <w:jc w:val="center"/>
              <w:rPr>
                <w:rFonts w:ascii="Times New Roman" w:cs="Times New Roman" w:hAnsi="Times New Roman"/>
                <w:sz w:val="24"/>
                <w:szCs w:val="24"/>
              </w:rPr>
            </w:pPr>
            <w:r>
              <w:rPr>
                <w:rFonts w:ascii="Times New Roman" w:cs="Times New Roman" w:hAnsi="Times New Roman"/>
                <w:sz w:val="24"/>
                <w:szCs w:val="24"/>
              </w:rPr>
              <w:t>Аренда и коммунальные платежи</w:t>
            </w:r>
          </w:p>
        </w:tc>
        <w:tc>
          <w:tcPr>
            <w:cnfStyle w:val="000000010000"/>
            <w:tcW w:w="1414" w:type="dxa"/>
          </w:tcPr>
          <w:p w14:paraId="00000646">
            <w:pPr>
              <w:jc w:val="center"/>
              <w:rPr>
                <w:rFonts w:ascii="Times New Roman" w:cs="Times New Roman" w:hAnsi="Times New Roman"/>
                <w:sz w:val="24"/>
                <w:szCs w:val="24"/>
              </w:rPr>
            </w:pPr>
            <w:r>
              <w:rPr>
                <w:rFonts w:ascii="Times New Roman" w:cs="Times New Roman" w:hAnsi="Times New Roman"/>
                <w:sz w:val="24"/>
                <w:szCs w:val="24"/>
              </w:rPr>
              <w:t>–5</w:t>
            </w:r>
          </w:p>
        </w:tc>
        <w:tc>
          <w:tcPr>
            <w:cnfStyle w:val="000000010000"/>
            <w:tcW w:w="1284" w:type="dxa"/>
          </w:tcPr>
          <w:p w14:paraId="00000647">
            <w:pPr>
              <w:jc w:val="center"/>
              <w:rPr>
                <w:rFonts w:ascii="Times New Roman" w:cs="Times New Roman" w:hAnsi="Times New Roman"/>
                <w:sz w:val="24"/>
                <w:szCs w:val="24"/>
              </w:rPr>
            </w:pPr>
            <w:r>
              <w:rPr>
                <w:rFonts w:ascii="Times New Roman" w:cs="Times New Roman" w:hAnsi="Times New Roman"/>
                <w:sz w:val="24"/>
                <w:szCs w:val="24"/>
              </w:rPr>
              <w:t>–5</w:t>
            </w:r>
          </w:p>
        </w:tc>
        <w:tc>
          <w:tcPr>
            <w:cnfStyle w:val="000000010000"/>
            <w:tcW w:w="1448" w:type="dxa"/>
          </w:tcPr>
          <w:p w14:paraId="00000648">
            <w:pPr>
              <w:jc w:val="center"/>
              <w:rPr>
                <w:rFonts w:ascii="Times New Roman" w:cs="Times New Roman" w:hAnsi="Times New Roman"/>
                <w:sz w:val="24"/>
                <w:szCs w:val="24"/>
              </w:rPr>
            </w:pPr>
            <w:r>
              <w:rPr>
                <w:rFonts w:ascii="Times New Roman" w:cs="Times New Roman" w:hAnsi="Times New Roman"/>
                <w:sz w:val="24"/>
                <w:szCs w:val="24"/>
              </w:rPr>
              <w:t>–5</w:t>
            </w:r>
          </w:p>
        </w:tc>
      </w:tr>
      <w:tr>
        <w:trPr/>
        <w:tc>
          <w:tcPr>
            <w:cnfStyle w:val="001000100000"/>
            <w:tcW w:w="5273" w:type="dxa"/>
          </w:tcPr>
          <w:p w14:paraId="00000649">
            <w:pPr>
              <w:jc w:val="center"/>
              <w:rPr>
                <w:rFonts w:ascii="Times New Roman" w:cs="Times New Roman" w:hAnsi="Times New Roman"/>
                <w:sz w:val="24"/>
                <w:szCs w:val="24"/>
              </w:rPr>
            </w:pPr>
            <w:r>
              <w:rPr>
                <w:rFonts w:ascii="Times New Roman" w:cs="Times New Roman" w:hAnsi="Times New Roman"/>
                <w:sz w:val="24"/>
                <w:szCs w:val="24"/>
              </w:rPr>
              <w:t>Маркетинг и реклама</w:t>
            </w:r>
          </w:p>
        </w:tc>
        <w:tc>
          <w:tcPr>
            <w:cnfStyle w:val="000000100000"/>
            <w:tcW w:w="1414" w:type="dxa"/>
          </w:tcPr>
          <w:p w14:paraId="0000064A">
            <w:pPr>
              <w:jc w:val="center"/>
              <w:rPr>
                <w:rFonts w:ascii="Times New Roman" w:cs="Times New Roman" w:hAnsi="Times New Roman"/>
                <w:sz w:val="24"/>
                <w:szCs w:val="24"/>
              </w:rPr>
            </w:pPr>
            <w:r>
              <w:rPr>
                <w:rFonts w:ascii="Times New Roman" w:cs="Times New Roman" w:hAnsi="Times New Roman"/>
                <w:sz w:val="24"/>
                <w:szCs w:val="24"/>
              </w:rPr>
              <w:t>–1,5</w:t>
            </w:r>
          </w:p>
        </w:tc>
        <w:tc>
          <w:tcPr>
            <w:cnfStyle w:val="000000100000"/>
            <w:tcW w:w="1284" w:type="dxa"/>
          </w:tcPr>
          <w:p w14:paraId="0000064B">
            <w:pPr>
              <w:jc w:val="center"/>
              <w:rPr>
                <w:rFonts w:ascii="Times New Roman" w:cs="Times New Roman" w:hAnsi="Times New Roman"/>
                <w:sz w:val="24"/>
                <w:szCs w:val="24"/>
              </w:rPr>
            </w:pPr>
            <w:r>
              <w:rPr>
                <w:rFonts w:ascii="Times New Roman" w:cs="Times New Roman" w:hAnsi="Times New Roman"/>
                <w:sz w:val="24"/>
                <w:szCs w:val="24"/>
              </w:rPr>
              <w:t>–2</w:t>
            </w:r>
          </w:p>
        </w:tc>
        <w:tc>
          <w:tcPr>
            <w:cnfStyle w:val="000000100000"/>
            <w:tcW w:w="1448" w:type="dxa"/>
          </w:tcPr>
          <w:p w14:paraId="0000064C">
            <w:pPr>
              <w:jc w:val="center"/>
              <w:rPr>
                <w:rFonts w:ascii="Times New Roman" w:cs="Times New Roman" w:hAnsi="Times New Roman"/>
                <w:sz w:val="24"/>
                <w:szCs w:val="24"/>
              </w:rPr>
            </w:pPr>
            <w:r>
              <w:rPr>
                <w:rFonts w:ascii="Times New Roman" w:cs="Times New Roman" w:hAnsi="Times New Roman"/>
                <w:sz w:val="24"/>
                <w:szCs w:val="24"/>
              </w:rPr>
              <w:t>–2</w:t>
            </w:r>
          </w:p>
        </w:tc>
      </w:tr>
      <w:tr>
        <w:trPr/>
        <w:tc>
          <w:tcPr>
            <w:cnfStyle w:val="001000010000"/>
            <w:tcW w:w="5273" w:type="dxa"/>
          </w:tcPr>
          <w:p w14:paraId="0000064D">
            <w:pPr>
              <w:jc w:val="center"/>
              <w:rPr>
                <w:rFonts w:ascii="Times New Roman" w:cs="Times New Roman" w:hAnsi="Times New Roman"/>
                <w:sz w:val="24"/>
                <w:szCs w:val="24"/>
              </w:rPr>
            </w:pPr>
            <w:r>
              <w:rPr>
                <w:rFonts w:ascii="Times New Roman" w:cs="Times New Roman" w:hAnsi="Times New Roman"/>
                <w:sz w:val="24"/>
                <w:szCs w:val="24"/>
              </w:rPr>
              <w:t>Обслуживание кредита (проценты + долг)</w:t>
            </w:r>
          </w:p>
        </w:tc>
        <w:tc>
          <w:tcPr>
            <w:cnfStyle w:val="000000010000"/>
            <w:tcW w:w="1414" w:type="dxa"/>
          </w:tcPr>
          <w:p w14:paraId="0000064E">
            <w:pPr>
              <w:jc w:val="center"/>
              <w:rPr>
                <w:rFonts w:ascii="Times New Roman" w:cs="Times New Roman" w:hAnsi="Times New Roman"/>
                <w:sz w:val="24"/>
                <w:szCs w:val="24"/>
              </w:rPr>
            </w:pPr>
            <w:r>
              <w:rPr>
                <w:rFonts w:ascii="Times New Roman" w:cs="Times New Roman" w:hAnsi="Times New Roman"/>
                <w:sz w:val="24"/>
                <w:szCs w:val="24"/>
              </w:rPr>
              <w:t>–13,3</w:t>
            </w:r>
          </w:p>
        </w:tc>
        <w:tc>
          <w:tcPr>
            <w:cnfStyle w:val="000000010000"/>
            <w:tcW w:w="1284" w:type="dxa"/>
          </w:tcPr>
          <w:p w14:paraId="0000064F">
            <w:pPr>
              <w:jc w:val="center"/>
              <w:rPr>
                <w:rFonts w:ascii="Times New Roman" w:cs="Times New Roman" w:hAnsi="Times New Roman"/>
                <w:sz w:val="24"/>
                <w:szCs w:val="24"/>
              </w:rPr>
            </w:pPr>
            <w:r>
              <w:rPr>
                <w:rFonts w:ascii="Times New Roman" w:cs="Times New Roman" w:hAnsi="Times New Roman"/>
                <w:sz w:val="24"/>
                <w:szCs w:val="24"/>
              </w:rPr>
              <w:t>–13,4</w:t>
            </w:r>
          </w:p>
        </w:tc>
        <w:tc>
          <w:tcPr>
            <w:cnfStyle w:val="000000010000"/>
            <w:tcW w:w="1448" w:type="dxa"/>
          </w:tcPr>
          <w:p w14:paraId="00000650">
            <w:pPr>
              <w:jc w:val="center"/>
              <w:rPr>
                <w:rFonts w:ascii="Times New Roman" w:cs="Times New Roman" w:hAnsi="Times New Roman"/>
                <w:sz w:val="24"/>
                <w:szCs w:val="24"/>
              </w:rPr>
            </w:pPr>
            <w:r>
              <w:rPr>
                <w:rFonts w:ascii="Times New Roman" w:cs="Times New Roman" w:hAnsi="Times New Roman"/>
                <w:sz w:val="24"/>
                <w:szCs w:val="24"/>
              </w:rPr>
              <w:t>–13,3</w:t>
            </w:r>
          </w:p>
        </w:tc>
      </w:tr>
      <w:tr>
        <w:trPr/>
        <w:tc>
          <w:tcPr>
            <w:cnfStyle w:val="001000100000"/>
            <w:tcW w:w="5273" w:type="dxa"/>
          </w:tcPr>
          <w:p w14:paraId="00000651">
            <w:pPr>
              <w:jc w:val="center"/>
              <w:rPr>
                <w:rFonts w:ascii="Times New Roman" w:cs="Times New Roman" w:hAnsi="Times New Roman"/>
                <w:sz w:val="24"/>
                <w:szCs w:val="24"/>
              </w:rPr>
            </w:pPr>
            <w:r>
              <w:rPr>
                <w:rFonts w:ascii="Times New Roman" w:cs="Times New Roman" w:hAnsi="Times New Roman"/>
                <w:sz w:val="24"/>
                <w:szCs w:val="24"/>
              </w:rPr>
              <w:t>Налог УСН (15%)</w:t>
            </w:r>
          </w:p>
        </w:tc>
        <w:tc>
          <w:tcPr>
            <w:cnfStyle w:val="000000100000"/>
            <w:tcW w:w="1414" w:type="dxa"/>
          </w:tcPr>
          <w:p w14:paraId="00000652">
            <w:pPr>
              <w:jc w:val="center"/>
              <w:rPr>
                <w:rFonts w:ascii="Times New Roman" w:cs="Times New Roman" w:hAnsi="Times New Roman"/>
                <w:sz w:val="24"/>
                <w:szCs w:val="24"/>
              </w:rPr>
            </w:pPr>
            <w:r>
              <w:rPr>
                <w:rFonts w:ascii="Times New Roman" w:cs="Times New Roman" w:hAnsi="Times New Roman"/>
                <w:sz w:val="24"/>
                <w:szCs w:val="24"/>
              </w:rPr>
              <w:t>–6</w:t>
            </w:r>
          </w:p>
        </w:tc>
        <w:tc>
          <w:tcPr>
            <w:cnfStyle w:val="000000100000"/>
            <w:tcW w:w="1284" w:type="dxa"/>
          </w:tcPr>
          <w:p w14:paraId="00000653">
            <w:pPr>
              <w:jc w:val="center"/>
              <w:rPr>
                <w:rFonts w:ascii="Times New Roman" w:cs="Times New Roman" w:hAnsi="Times New Roman"/>
                <w:sz w:val="24"/>
                <w:szCs w:val="24"/>
              </w:rPr>
            </w:pPr>
            <w:r>
              <w:rPr>
                <w:rFonts w:ascii="Times New Roman" w:cs="Times New Roman" w:hAnsi="Times New Roman"/>
                <w:sz w:val="24"/>
                <w:szCs w:val="24"/>
              </w:rPr>
              <w:t>–10,2</w:t>
            </w:r>
          </w:p>
        </w:tc>
        <w:tc>
          <w:tcPr>
            <w:cnfStyle w:val="000000100000"/>
            <w:tcW w:w="1448" w:type="dxa"/>
          </w:tcPr>
          <w:p w14:paraId="00000654">
            <w:pPr>
              <w:jc w:val="center"/>
              <w:rPr>
                <w:rFonts w:ascii="Times New Roman" w:cs="Times New Roman" w:hAnsi="Times New Roman"/>
                <w:sz w:val="24"/>
                <w:szCs w:val="24"/>
              </w:rPr>
            </w:pPr>
            <w:r>
              <w:rPr>
                <w:rFonts w:ascii="Times New Roman" w:cs="Times New Roman" w:hAnsi="Times New Roman"/>
                <w:sz w:val="24"/>
                <w:szCs w:val="24"/>
              </w:rPr>
              <w:t>–12,6</w:t>
            </w:r>
          </w:p>
        </w:tc>
      </w:tr>
      <w:tr>
        <w:trPr/>
        <w:tc>
          <w:tcPr>
            <w:cnfStyle w:val="001000010000"/>
            <w:tcW w:w="5273" w:type="dxa"/>
          </w:tcPr>
          <w:p w14:paraId="00000655">
            <w:pPr>
              <w:jc w:val="center"/>
              <w:rPr>
                <w:rFonts w:ascii="Times New Roman" w:cs="Times New Roman" w:hAnsi="Times New Roman"/>
                <w:sz w:val="24"/>
                <w:szCs w:val="24"/>
              </w:rPr>
            </w:pPr>
            <w:r>
              <w:rPr>
                <w:rFonts w:ascii="Times New Roman" w:cs="Times New Roman" w:hAnsi="Times New Roman"/>
                <w:sz w:val="24"/>
                <w:szCs w:val="24"/>
              </w:rPr>
              <w:t>Прочие расходы (связь, канцелярия, охрана)</w:t>
            </w:r>
          </w:p>
        </w:tc>
        <w:tc>
          <w:tcPr>
            <w:cnfStyle w:val="000000010000"/>
            <w:tcW w:w="1414" w:type="dxa"/>
          </w:tcPr>
          <w:p w14:paraId="00000656">
            <w:pPr>
              <w:jc w:val="center"/>
              <w:rPr>
                <w:rFonts w:ascii="Times New Roman" w:cs="Times New Roman" w:hAnsi="Times New Roman"/>
                <w:sz w:val="24"/>
                <w:szCs w:val="24"/>
              </w:rPr>
            </w:pPr>
            <w:r>
              <w:rPr>
                <w:rFonts w:ascii="Times New Roman" w:cs="Times New Roman" w:hAnsi="Times New Roman"/>
                <w:sz w:val="24"/>
                <w:szCs w:val="24"/>
              </w:rPr>
              <w:t>–1,5</w:t>
            </w:r>
          </w:p>
        </w:tc>
        <w:tc>
          <w:tcPr>
            <w:cnfStyle w:val="000000010000"/>
            <w:tcW w:w="1284" w:type="dxa"/>
          </w:tcPr>
          <w:p w14:paraId="00000657">
            <w:pPr>
              <w:jc w:val="center"/>
              <w:rPr>
                <w:rFonts w:ascii="Times New Roman" w:cs="Times New Roman" w:hAnsi="Times New Roman"/>
                <w:sz w:val="24"/>
                <w:szCs w:val="24"/>
              </w:rPr>
            </w:pPr>
            <w:r>
              <w:rPr>
                <w:rFonts w:ascii="Times New Roman" w:cs="Times New Roman" w:hAnsi="Times New Roman"/>
                <w:sz w:val="24"/>
                <w:szCs w:val="24"/>
              </w:rPr>
              <w:t>–1,5</w:t>
            </w:r>
          </w:p>
        </w:tc>
        <w:tc>
          <w:tcPr>
            <w:cnfStyle w:val="000000010000"/>
            <w:tcW w:w="1448" w:type="dxa"/>
          </w:tcPr>
          <w:p w14:paraId="00000658">
            <w:pPr>
              <w:jc w:val="center"/>
              <w:rPr>
                <w:rFonts w:ascii="Times New Roman" w:cs="Times New Roman" w:hAnsi="Times New Roman"/>
                <w:sz w:val="24"/>
                <w:szCs w:val="24"/>
              </w:rPr>
            </w:pPr>
            <w:r>
              <w:rPr>
                <w:rFonts w:ascii="Times New Roman" w:cs="Times New Roman" w:hAnsi="Times New Roman"/>
                <w:sz w:val="24"/>
                <w:szCs w:val="24"/>
              </w:rPr>
              <w:t>–1,5</w:t>
            </w:r>
          </w:p>
        </w:tc>
      </w:tr>
      <w:tr>
        <w:trPr/>
        <w:tc>
          <w:tcPr>
            <w:cnfStyle w:val="001000100000"/>
            <w:tcW w:w="5273" w:type="dxa"/>
          </w:tcPr>
          <w:p w14:paraId="00000659">
            <w:pPr>
              <w:jc w:val="center"/>
              <w:rPr>
                <w:rFonts w:ascii="Times New Roman" w:cs="Times New Roman" w:hAnsi="Times New Roman"/>
                <w:sz w:val="24"/>
                <w:szCs w:val="24"/>
              </w:rPr>
            </w:pPr>
            <w:r>
              <w:rPr>
                <w:rFonts w:ascii="Times New Roman" w:cs="Times New Roman" w:hAnsi="Times New Roman"/>
                <w:sz w:val="24"/>
                <w:szCs w:val="24"/>
              </w:rPr>
              <w:t>Капитальные затраты (оборудование)</w:t>
            </w:r>
          </w:p>
        </w:tc>
        <w:tc>
          <w:tcPr>
            <w:cnfStyle w:val="000000100000"/>
            <w:tcW w:w="1414" w:type="dxa"/>
          </w:tcPr>
          <w:p w14:paraId="0000065A">
            <w:pPr>
              <w:jc w:val="center"/>
              <w:rPr>
                <w:rFonts w:ascii="Times New Roman" w:cs="Times New Roman" w:hAnsi="Times New Roman"/>
                <w:sz w:val="24"/>
                <w:szCs w:val="24"/>
              </w:rPr>
            </w:pPr>
            <w:r>
              <w:rPr>
                <w:rFonts w:ascii="Times New Roman" w:cs="Times New Roman" w:hAnsi="Times New Roman"/>
                <w:sz w:val="24"/>
                <w:szCs w:val="24"/>
              </w:rPr>
              <w:t>–87</w:t>
            </w:r>
          </w:p>
        </w:tc>
        <w:tc>
          <w:tcPr>
            <w:cnfStyle w:val="000000100000"/>
            <w:tcW w:w="1284" w:type="dxa"/>
          </w:tcPr>
          <w:p w14:paraId="0000065B">
            <w:pPr>
              <w:jc w:val="center"/>
              <w:rPr>
                <w:rFonts w:ascii="Times New Roman" w:cs="Times New Roman" w:hAnsi="Times New Roman"/>
                <w:sz w:val="24"/>
                <w:szCs w:val="24"/>
              </w:rPr>
            </w:pPr>
            <w:r>
              <w:rPr>
                <w:rFonts w:ascii="Times New Roman" w:cs="Times New Roman" w:hAnsi="Times New Roman"/>
                <w:sz w:val="24"/>
                <w:szCs w:val="24"/>
              </w:rPr>
              <w:t>–</w:t>
            </w:r>
          </w:p>
        </w:tc>
        <w:tc>
          <w:tcPr>
            <w:cnfStyle w:val="000000100000"/>
            <w:tcW w:w="1448" w:type="dxa"/>
          </w:tcPr>
          <w:p w14:paraId="0000065C">
            <w:pPr>
              <w:jc w:val="center"/>
              <w:rPr>
                <w:rFonts w:ascii="Times New Roman" w:cs="Times New Roman" w:hAnsi="Times New Roman"/>
                <w:sz w:val="24"/>
                <w:szCs w:val="24"/>
              </w:rPr>
            </w:pPr>
            <w:r>
              <w:rPr>
                <w:rFonts w:ascii="Times New Roman" w:cs="Times New Roman" w:hAnsi="Times New Roman"/>
                <w:sz w:val="24"/>
                <w:szCs w:val="24"/>
              </w:rPr>
              <w:t>–</w:t>
            </w:r>
          </w:p>
        </w:tc>
      </w:tr>
      <w:tr>
        <w:trPr/>
        <w:tc>
          <w:tcPr>
            <w:cnfStyle w:val="001000010000"/>
            <w:tcW w:w="5273" w:type="dxa"/>
          </w:tcPr>
          <w:p w14:paraId="0000065D">
            <w:pPr>
              <w:jc w:val="center"/>
              <w:rPr>
                <w:rFonts w:ascii="Times New Roman" w:cs="Times New Roman" w:hAnsi="Times New Roman"/>
                <w:sz w:val="24"/>
                <w:szCs w:val="24"/>
              </w:rPr>
            </w:pPr>
            <w:r>
              <w:rPr>
                <w:rFonts w:ascii="Times New Roman" w:cs="Times New Roman" w:hAnsi="Times New Roman"/>
                <w:sz w:val="24"/>
                <w:szCs w:val="24"/>
              </w:rPr>
              <w:t>Итого платежей</w:t>
            </w:r>
          </w:p>
        </w:tc>
        <w:tc>
          <w:tcPr>
            <w:cnfStyle w:val="000000010000"/>
            <w:tcW w:w="1414" w:type="dxa"/>
          </w:tcPr>
          <w:p w14:paraId="0000065E">
            <w:pPr>
              <w:jc w:val="center"/>
              <w:rPr>
                <w:rFonts w:ascii="Times New Roman" w:cs="Times New Roman" w:hAnsi="Times New Roman"/>
                <w:sz w:val="24"/>
                <w:szCs w:val="24"/>
              </w:rPr>
            </w:pPr>
            <w:r>
              <w:rPr>
                <w:rFonts w:ascii="Times New Roman" w:cs="Times New Roman" w:hAnsi="Times New Roman"/>
                <w:sz w:val="24"/>
                <w:szCs w:val="24"/>
              </w:rPr>
              <w:t>–211,3</w:t>
            </w:r>
          </w:p>
        </w:tc>
        <w:tc>
          <w:tcPr>
            <w:cnfStyle w:val="000000010000"/>
            <w:tcW w:w="1284" w:type="dxa"/>
          </w:tcPr>
          <w:p w14:paraId="0000065F">
            <w:pPr>
              <w:jc w:val="center"/>
              <w:rPr>
                <w:rFonts w:ascii="Times New Roman" w:cs="Times New Roman" w:hAnsi="Times New Roman"/>
                <w:sz w:val="24"/>
                <w:szCs w:val="24"/>
              </w:rPr>
            </w:pPr>
            <w:r>
              <w:rPr>
                <w:rFonts w:ascii="Times New Roman" w:cs="Times New Roman" w:hAnsi="Times New Roman"/>
                <w:sz w:val="24"/>
                <w:szCs w:val="24"/>
              </w:rPr>
              <w:t>–160,1</w:t>
            </w:r>
          </w:p>
        </w:tc>
        <w:tc>
          <w:tcPr>
            <w:cnfStyle w:val="000000010000"/>
            <w:tcW w:w="1448" w:type="dxa"/>
          </w:tcPr>
          <w:p w14:paraId="00000660">
            <w:pPr>
              <w:jc w:val="center"/>
              <w:rPr>
                <w:rFonts w:ascii="Times New Roman" w:cs="Times New Roman" w:hAnsi="Times New Roman"/>
                <w:sz w:val="24"/>
                <w:szCs w:val="24"/>
              </w:rPr>
            </w:pPr>
            <w:r>
              <w:rPr>
                <w:rFonts w:ascii="Times New Roman" w:cs="Times New Roman" w:hAnsi="Times New Roman"/>
                <w:sz w:val="24"/>
                <w:szCs w:val="24"/>
              </w:rPr>
              <w:t>–180,4</w:t>
            </w:r>
          </w:p>
        </w:tc>
      </w:tr>
      <w:tr>
        <w:trPr/>
        <w:tc>
          <w:tcPr>
            <w:cnfStyle w:val="001000100000"/>
            <w:tcW w:w="5273" w:type="dxa"/>
          </w:tcPr>
          <w:p w14:paraId="00000661">
            <w:pPr>
              <w:jc w:val="center"/>
              <w:rPr>
                <w:rFonts w:ascii="Times New Roman" w:cs="Times New Roman" w:hAnsi="Times New Roman"/>
                <w:sz w:val="24"/>
                <w:szCs w:val="24"/>
              </w:rPr>
            </w:pPr>
            <w:r>
              <w:rPr>
                <w:rFonts w:ascii="Times New Roman" w:cs="Times New Roman" w:hAnsi="Times New Roman"/>
                <w:bCs/>
                <w:sz w:val="24"/>
                <w:szCs w:val="24"/>
              </w:rPr>
              <w:t>Чистый денежный поток</w:t>
            </w:r>
          </w:p>
        </w:tc>
        <w:tc>
          <w:tcPr>
            <w:cnfStyle w:val="000000100000"/>
            <w:tcW w:w="1414" w:type="dxa"/>
          </w:tcPr>
          <w:p w14:paraId="00000662">
            <w:pPr>
              <w:jc w:val="center"/>
              <w:rPr>
                <w:rFonts w:ascii="Times New Roman" w:cs="Times New Roman" w:hAnsi="Times New Roman"/>
                <w:sz w:val="24"/>
                <w:szCs w:val="24"/>
              </w:rPr>
            </w:pPr>
            <w:r>
              <w:rPr>
                <w:rFonts w:ascii="Times New Roman" w:cs="Times New Roman" w:hAnsi="Times New Roman"/>
                <w:bCs/>
                <w:sz w:val="24"/>
                <w:szCs w:val="24"/>
              </w:rPr>
              <w:t>–33,3</w:t>
            </w:r>
          </w:p>
        </w:tc>
        <w:tc>
          <w:tcPr>
            <w:cnfStyle w:val="000000100000"/>
            <w:tcW w:w="1284" w:type="dxa"/>
          </w:tcPr>
          <w:p w14:paraId="00000663">
            <w:pPr>
              <w:jc w:val="center"/>
              <w:rPr>
                <w:rFonts w:ascii="Times New Roman" w:cs="Times New Roman" w:hAnsi="Times New Roman"/>
                <w:sz w:val="24"/>
                <w:szCs w:val="24"/>
              </w:rPr>
            </w:pPr>
            <w:r>
              <w:rPr>
                <w:rFonts w:ascii="Times New Roman" w:cs="Times New Roman" w:hAnsi="Times New Roman"/>
                <w:bCs/>
                <w:sz w:val="24"/>
                <w:szCs w:val="24"/>
              </w:rPr>
              <w:t>76,9</w:t>
            </w:r>
          </w:p>
        </w:tc>
        <w:tc>
          <w:tcPr>
            <w:cnfStyle w:val="000000100000"/>
            <w:tcW w:w="1448" w:type="dxa"/>
          </w:tcPr>
          <w:p w14:paraId="00000664">
            <w:pPr>
              <w:jc w:val="center"/>
              <w:rPr>
                <w:rFonts w:ascii="Times New Roman" w:cs="Times New Roman" w:hAnsi="Times New Roman"/>
                <w:sz w:val="24"/>
                <w:szCs w:val="24"/>
              </w:rPr>
            </w:pPr>
            <w:r>
              <w:rPr>
                <w:rFonts w:ascii="Times New Roman" w:cs="Times New Roman" w:hAnsi="Times New Roman"/>
                <w:bCs/>
                <w:sz w:val="24"/>
                <w:szCs w:val="24"/>
              </w:rPr>
              <w:t>89,6</w:t>
            </w:r>
          </w:p>
        </w:tc>
      </w:tr>
      <w:tr>
        <w:trPr/>
        <w:tc>
          <w:tcPr>
            <w:cnfStyle w:val="001000010000"/>
            <w:tcW w:w="5273" w:type="dxa"/>
          </w:tcPr>
          <w:p w14:paraId="00000665">
            <w:pPr>
              <w:jc w:val="center"/>
              <w:rPr>
                <w:rFonts w:ascii="Times New Roman" w:cs="Times New Roman" w:hAnsi="Times New Roman"/>
                <w:sz w:val="24"/>
                <w:szCs w:val="24"/>
              </w:rPr>
            </w:pPr>
            <w:r>
              <w:rPr>
                <w:rFonts w:ascii="Times New Roman" w:cs="Times New Roman" w:hAnsi="Times New Roman"/>
                <w:sz w:val="24"/>
                <w:szCs w:val="24"/>
              </w:rPr>
              <w:t>Остаток на конец периода</w:t>
            </w:r>
          </w:p>
        </w:tc>
        <w:tc>
          <w:tcPr>
            <w:cnfStyle w:val="000000010000"/>
            <w:tcW w:w="1414" w:type="dxa"/>
          </w:tcPr>
          <w:p w14:paraId="00000666">
            <w:pPr>
              <w:jc w:val="center"/>
              <w:rPr>
                <w:rFonts w:ascii="Times New Roman" w:cs="Times New Roman" w:hAnsi="Times New Roman"/>
                <w:sz w:val="24"/>
                <w:szCs w:val="24"/>
              </w:rPr>
            </w:pPr>
            <w:r>
              <w:rPr>
                <w:rFonts w:ascii="Times New Roman" w:cs="Times New Roman" w:hAnsi="Times New Roman"/>
                <w:sz w:val="24"/>
                <w:szCs w:val="24"/>
              </w:rPr>
              <w:t>33,3</w:t>
            </w:r>
          </w:p>
        </w:tc>
        <w:tc>
          <w:tcPr>
            <w:cnfStyle w:val="000000010000"/>
            <w:tcW w:w="1284" w:type="dxa"/>
          </w:tcPr>
          <w:p w14:paraId="00000667">
            <w:pPr>
              <w:jc w:val="center"/>
              <w:rPr>
                <w:rFonts w:ascii="Times New Roman" w:cs="Times New Roman" w:hAnsi="Times New Roman"/>
                <w:sz w:val="24"/>
                <w:szCs w:val="24"/>
              </w:rPr>
            </w:pPr>
            <w:r>
              <w:rPr>
                <w:rFonts w:ascii="Times New Roman" w:cs="Times New Roman" w:hAnsi="Times New Roman"/>
                <w:sz w:val="24"/>
                <w:szCs w:val="24"/>
              </w:rPr>
              <w:t>110,2</w:t>
            </w:r>
          </w:p>
        </w:tc>
        <w:tc>
          <w:tcPr>
            <w:cnfStyle w:val="000000010000"/>
            <w:tcW w:w="1448" w:type="dxa"/>
          </w:tcPr>
          <w:p w14:paraId="00000668">
            <w:pPr>
              <w:jc w:val="center"/>
              <w:rPr>
                <w:rFonts w:ascii="Times New Roman" w:cs="Times New Roman" w:hAnsi="Times New Roman"/>
                <w:sz w:val="24"/>
                <w:szCs w:val="24"/>
              </w:rPr>
            </w:pPr>
            <w:r>
              <w:rPr>
                <w:rFonts w:ascii="Times New Roman" w:cs="Times New Roman" w:hAnsi="Times New Roman"/>
                <w:sz w:val="24"/>
                <w:szCs w:val="24"/>
              </w:rPr>
              <w:t>199,8</w:t>
            </w:r>
          </w:p>
        </w:tc>
      </w:tr>
    </w:tbl>
    <w:p w14:paraId="0000066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Прогноз показывает, что в первый год чистый денежный поток отрицательный (–33,3 млн руб.) из-за капитальных затрат, но накопленный остаток на конец года положительный (33,3 млн руб.) за счёт собственных средств и субсидий. Со второго года предприятие генерирует положительный чистый денежный поток (76,9 млн руб.), что достаточно для обслуживания кредита и дальнейшего развития.</w:t>
      </w:r>
    </w:p>
    <w:p w14:paraId="0000066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Проведённое экономическое обоснование подтверждает финансовую состоятельность и высокую инвестиционную привлекательность проекта создания предприятия по производству гиперпрессованного кирпича в Пензенской области.</w:t>
      </w:r>
    </w:p>
    <w:p w14:paraId="0000066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Капитальные затраты на реализацию проекта составляют 87 млн рублей, из которых 54% приходится на оборудование, 14% – на строительно-монтажные работы, 12% – на оборотные средства. Резерв на непредвиденные расходы (5%) обеспечивает защиту от рисков.</w:t>
      </w:r>
    </w:p>
    <w:p w14:paraId="0000066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Точка безубыточности достигается при загрузке мощностей 35–40% (3,54 млн шт. кирпича в год), запас прочности в первый год – 41%, что характеризует проект как низкорисковый.</w:t>
      </w:r>
    </w:p>
    <w:p w14:paraId="0000066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Чистая прибыль первого года составит 34 млн руб., пятого года – 83,3 млн руб. Рентабельность по чистой прибыли – 20–27%.</w:t>
      </w:r>
    </w:p>
    <w:p w14:paraId="0000066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Показатели эффективности инвестиций имеют высокие значения: NPV (при ставке дисконтирования 15%) – 131,6 млн руб., PI – 2,51, DPP – 2,18 года, IRR – 35–38%. Все показатели значительно превышают пороговые значения (NPV&gt;0, PI&gt;1, IRR&gt;ставки дисконтирования), что подтверждает целесообразность инвестирования.</w:t>
      </w:r>
    </w:p>
    <w:p w14:paraId="0000066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Анализ чувствительности показал устойчивость проекта к колебаниям рыночных параметров: даже при снижении цены на 20% NPV остаётся положительным (75 млн руб.). Наибольшее влияние на эффективность оказывает цена реализации и переменные затраты, поэтому в стратегии предприятия необходимо сделать акцент на удержание цен за счёт качества и сервиса и контроль закупочных цен на сырьё.</w:t>
      </w:r>
    </w:p>
    <w:p w14:paraId="0000067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Рекомендуемая структура финансирования: собственные средства 25 млн руб., инвестиционный кредит 42 млн руб., государственная поддержка 20 млн руб. Такое соотношение является реалистичным для Пензенской области, где действуют программы поддержки МСП.</w:t>
      </w:r>
    </w:p>
    <w:p w14:paraId="00000671">
      <w:pPr>
        <w:spacing w:beforeAutospacing="0" w:after="0" w:afterAutospacing="0" w:line="360" w:lineRule="auto"/>
        <w:ind w:firstLine="709"/>
        <w:jc w:val="both"/>
        <w:rPr>
          <w:rFonts w:ascii="Times New Roman" w:cs="Times New Roman" w:hAnsi="Times New Roman"/>
          <w:sz w:val="28"/>
          <w:szCs w:val="28"/>
        </w:rPr>
      </w:pPr>
      <w:bookmarkStart w:id="10" w:name="_Toc232406685"/>
      <w:r>
        <w:rPr>
          <w:rFonts w:ascii="Times New Roman" w:cs="Times New Roman" w:hAnsi="Times New Roman"/>
          <w:sz w:val="28"/>
          <w:szCs w:val="28"/>
        </w:rPr>
        <w:t xml:space="preserve">Таким образом, проект создания предприятия по производству гиперпрессованного кирпича в Пензенской области является экономически обоснованным, финансово реализуемым и может быть рекомендован к практической реализации. Его реализация позволит удовлетворить часть регионального спроса на качественные строительные материалы и снизить зависимость от межрегиональных поставок. Дополнительным </w:t>
      </w:r>
      <w:r>
        <w:rPr>
          <w:rFonts w:ascii="Times New Roman" w:cs="Times New Roman" w:hAnsi="Times New Roman"/>
          <w:sz w:val="28"/>
          <w:szCs w:val="28"/>
        </w:rPr>
        <w:t>положительным эффектом станет создание рабочих мест и увеличение налоговых поступлений в бюджет региона.</w:t>
      </w:r>
    </w:p>
    <w:p w14:paraId="00000672">
      <w:pPr>
        <w:spacing w:beforeAutospacing="0" w:after="0" w:afterAutospacing="0" w:line="360" w:lineRule="auto"/>
        <w:ind w:firstLine="709"/>
        <w:jc w:val="both"/>
        <w:rPr>
          <w:rFonts w:ascii="Times New Roman" w:cs="Times New Roman" w:hAnsi="Times New Roman"/>
          <w:b/>
          <w:bCs/>
          <w:color w:val="auto"/>
          <w:sz w:val="28"/>
          <w:szCs w:val="28"/>
        </w:rPr>
      </w:pPr>
    </w:p>
    <w:p w14:paraId="00000673">
      <w:pPr>
        <w:spacing w:beforeAutospacing="0" w:after="0" w:afterAutospacing="0" w:line="360" w:lineRule="auto"/>
        <w:ind w:firstLine="709"/>
        <w:jc w:val="both"/>
        <w:rPr>
          <w:rFonts w:ascii="Times New Roman" w:cs="Times New Roman" w:hAnsi="Times New Roman"/>
          <w:b/>
          <w:bCs/>
          <w:color w:val="auto"/>
          <w:sz w:val="28"/>
          <w:szCs w:val="28"/>
        </w:rPr>
      </w:pPr>
    </w:p>
    <w:p w14:paraId="00000674">
      <w:pPr>
        <w:spacing w:beforeAutospacing="0" w:after="0" w:afterAutospacing="0" w:line="360" w:lineRule="auto"/>
        <w:ind w:firstLine="709"/>
        <w:jc w:val="both"/>
        <w:rPr>
          <w:rFonts w:ascii="Times New Roman" w:cs="Times New Roman" w:hAnsi="Times New Roman"/>
          <w:b/>
          <w:bCs/>
          <w:color w:val="auto"/>
          <w:sz w:val="28"/>
          <w:szCs w:val="28"/>
        </w:rPr>
      </w:pPr>
    </w:p>
    <w:p w14:paraId="00000675">
      <w:pPr>
        <w:spacing w:beforeAutospacing="0" w:after="0" w:afterAutospacing="0" w:line="360" w:lineRule="auto"/>
        <w:ind w:firstLine="709"/>
        <w:jc w:val="both"/>
        <w:rPr>
          <w:rFonts w:ascii="Times New Roman" w:cs="Times New Roman" w:hAnsi="Times New Roman"/>
          <w:b/>
          <w:bCs/>
          <w:color w:val="auto"/>
          <w:sz w:val="28"/>
          <w:szCs w:val="28"/>
        </w:rPr>
      </w:pPr>
    </w:p>
    <w:p w14:paraId="00000676">
      <w:pPr>
        <w:spacing w:beforeAutospacing="0" w:after="0" w:afterAutospacing="0" w:line="360" w:lineRule="auto"/>
        <w:ind w:firstLine="709"/>
        <w:jc w:val="both"/>
        <w:rPr>
          <w:rFonts w:ascii="Times New Roman" w:cs="Times New Roman" w:hAnsi="Times New Roman"/>
          <w:b/>
          <w:bCs/>
          <w:color w:val="auto"/>
          <w:sz w:val="28"/>
          <w:szCs w:val="28"/>
        </w:rPr>
      </w:pPr>
    </w:p>
    <w:p w14:paraId="00000677">
      <w:pPr>
        <w:spacing w:beforeAutospacing="0" w:after="0" w:afterAutospacing="0" w:line="360" w:lineRule="auto"/>
        <w:ind w:firstLine="709"/>
        <w:jc w:val="both"/>
        <w:rPr>
          <w:rFonts w:ascii="Times New Roman" w:cs="Times New Roman" w:hAnsi="Times New Roman"/>
          <w:b/>
          <w:bCs/>
          <w:color w:val="auto"/>
          <w:sz w:val="28"/>
          <w:szCs w:val="28"/>
        </w:rPr>
      </w:pPr>
    </w:p>
    <w:p w14:paraId="00000678">
      <w:pPr>
        <w:spacing w:beforeAutospacing="0" w:after="0" w:afterAutospacing="0" w:line="360" w:lineRule="auto"/>
        <w:ind w:firstLine="709"/>
        <w:jc w:val="both"/>
        <w:rPr>
          <w:rFonts w:ascii="Times New Roman" w:cs="Times New Roman" w:hAnsi="Times New Roman"/>
          <w:b/>
          <w:bCs/>
          <w:color w:val="auto"/>
          <w:sz w:val="28"/>
          <w:szCs w:val="28"/>
        </w:rPr>
      </w:pPr>
    </w:p>
    <w:p w14:paraId="00000679">
      <w:pPr>
        <w:spacing w:beforeAutospacing="0" w:after="0" w:afterAutospacing="0" w:line="360" w:lineRule="auto"/>
        <w:ind w:firstLine="709"/>
        <w:jc w:val="both"/>
        <w:rPr>
          <w:rFonts w:ascii="Times New Roman" w:cs="Times New Roman" w:hAnsi="Times New Roman"/>
          <w:b/>
          <w:bCs/>
          <w:color w:val="auto"/>
          <w:sz w:val="28"/>
          <w:szCs w:val="28"/>
        </w:rPr>
      </w:pPr>
    </w:p>
    <w:p w14:paraId="0000067A">
      <w:pPr>
        <w:spacing w:beforeAutospacing="0" w:after="0" w:afterAutospacing="0" w:line="360" w:lineRule="auto"/>
        <w:ind w:firstLine="709"/>
        <w:jc w:val="both"/>
        <w:rPr>
          <w:rFonts w:ascii="Times New Roman" w:cs="Times New Roman" w:hAnsi="Times New Roman"/>
          <w:b/>
          <w:bCs/>
          <w:color w:val="auto"/>
          <w:sz w:val="28"/>
          <w:szCs w:val="28"/>
        </w:rPr>
      </w:pPr>
    </w:p>
    <w:p w14:paraId="0000067B">
      <w:pPr>
        <w:spacing w:beforeAutospacing="0" w:after="0" w:afterAutospacing="0" w:line="360" w:lineRule="auto"/>
        <w:ind w:firstLine="709"/>
        <w:jc w:val="both"/>
        <w:rPr>
          <w:rFonts w:ascii="Times New Roman" w:cs="Times New Roman" w:hAnsi="Times New Roman"/>
          <w:b/>
          <w:bCs/>
          <w:color w:val="auto"/>
          <w:sz w:val="28"/>
          <w:szCs w:val="28"/>
        </w:rPr>
      </w:pPr>
    </w:p>
    <w:p w14:paraId="0000067C">
      <w:pPr>
        <w:spacing w:beforeAutospacing="0" w:after="0" w:afterAutospacing="0" w:line="360" w:lineRule="auto"/>
        <w:ind w:firstLine="709"/>
        <w:jc w:val="both"/>
        <w:rPr>
          <w:rFonts w:ascii="Times New Roman" w:cs="Times New Roman" w:hAnsi="Times New Roman"/>
          <w:b/>
          <w:bCs/>
          <w:color w:val="auto"/>
          <w:sz w:val="28"/>
          <w:szCs w:val="28"/>
        </w:rPr>
      </w:pPr>
    </w:p>
    <w:p w14:paraId="0000067D">
      <w:pPr>
        <w:spacing w:beforeAutospacing="0" w:after="0" w:afterAutospacing="0" w:line="360" w:lineRule="auto"/>
        <w:ind w:firstLine="709"/>
        <w:jc w:val="both"/>
        <w:rPr>
          <w:rFonts w:ascii="Times New Roman" w:cs="Times New Roman" w:hAnsi="Times New Roman"/>
          <w:b/>
          <w:bCs/>
          <w:color w:val="auto"/>
          <w:sz w:val="28"/>
          <w:szCs w:val="28"/>
        </w:rPr>
      </w:pPr>
    </w:p>
    <w:p w14:paraId="0000067E">
      <w:pPr>
        <w:spacing w:beforeAutospacing="0" w:after="0" w:afterAutospacing="0" w:line="360" w:lineRule="auto"/>
        <w:ind w:firstLine="709"/>
        <w:jc w:val="both"/>
        <w:rPr>
          <w:rFonts w:ascii="Times New Roman" w:cs="Times New Roman" w:hAnsi="Times New Roman"/>
          <w:b/>
          <w:bCs/>
          <w:color w:val="auto"/>
          <w:sz w:val="28"/>
          <w:szCs w:val="28"/>
        </w:rPr>
      </w:pPr>
    </w:p>
    <w:p w14:paraId="0000067F">
      <w:pPr>
        <w:spacing w:beforeAutospacing="0" w:after="0" w:afterAutospacing="0" w:line="360" w:lineRule="auto"/>
        <w:ind w:firstLine="709"/>
        <w:jc w:val="both"/>
        <w:rPr>
          <w:rFonts w:ascii="Times New Roman" w:cs="Times New Roman" w:hAnsi="Times New Roman"/>
          <w:b/>
          <w:bCs/>
          <w:color w:val="auto"/>
          <w:sz w:val="28"/>
          <w:szCs w:val="28"/>
        </w:rPr>
      </w:pPr>
    </w:p>
    <w:p w14:paraId="00000680">
      <w:pPr>
        <w:spacing w:beforeAutospacing="0" w:after="0" w:afterAutospacing="0" w:line="360" w:lineRule="auto"/>
        <w:ind w:firstLine="709"/>
        <w:jc w:val="both"/>
        <w:rPr>
          <w:rFonts w:ascii="Times New Roman" w:cs="Times New Roman" w:hAnsi="Times New Roman"/>
          <w:b/>
          <w:bCs/>
          <w:color w:val="auto"/>
          <w:sz w:val="28"/>
          <w:szCs w:val="28"/>
        </w:rPr>
      </w:pPr>
    </w:p>
    <w:p w14:paraId="00000681">
      <w:pPr>
        <w:spacing w:beforeAutospacing="0" w:after="0" w:afterAutospacing="0" w:line="360" w:lineRule="auto"/>
        <w:ind w:firstLine="709"/>
        <w:jc w:val="both"/>
        <w:rPr>
          <w:rFonts w:ascii="Times New Roman" w:cs="Times New Roman" w:hAnsi="Times New Roman"/>
          <w:b/>
          <w:bCs/>
          <w:color w:val="auto"/>
          <w:sz w:val="28"/>
          <w:szCs w:val="28"/>
        </w:rPr>
      </w:pPr>
    </w:p>
    <w:p w14:paraId="00000682">
      <w:pPr>
        <w:spacing w:beforeAutospacing="0" w:after="0" w:afterAutospacing="0" w:line="360" w:lineRule="auto"/>
        <w:ind w:firstLine="709"/>
        <w:jc w:val="both"/>
        <w:rPr>
          <w:rFonts w:ascii="Times New Roman" w:cs="Times New Roman" w:hAnsi="Times New Roman"/>
          <w:b/>
          <w:bCs/>
          <w:color w:val="auto"/>
          <w:sz w:val="28"/>
          <w:szCs w:val="28"/>
        </w:rPr>
      </w:pPr>
    </w:p>
    <w:p w14:paraId="00000683">
      <w:pPr>
        <w:spacing w:beforeAutospacing="0" w:after="0" w:afterAutospacing="0" w:line="360" w:lineRule="auto"/>
        <w:ind w:firstLine="709"/>
        <w:jc w:val="both"/>
        <w:rPr>
          <w:rFonts w:ascii="Times New Roman" w:cs="Times New Roman" w:hAnsi="Times New Roman"/>
          <w:b/>
          <w:bCs/>
          <w:color w:val="auto"/>
          <w:sz w:val="28"/>
          <w:szCs w:val="28"/>
        </w:rPr>
      </w:pPr>
    </w:p>
    <w:p w14:paraId="00000684">
      <w:pPr>
        <w:spacing w:beforeAutospacing="0" w:after="0" w:afterAutospacing="0" w:line="360" w:lineRule="auto"/>
        <w:ind w:firstLine="709"/>
        <w:jc w:val="both"/>
        <w:rPr>
          <w:rFonts w:ascii="Times New Roman" w:cs="Times New Roman" w:hAnsi="Times New Roman"/>
          <w:b/>
          <w:bCs/>
          <w:color w:val="auto"/>
          <w:sz w:val="28"/>
          <w:szCs w:val="28"/>
        </w:rPr>
      </w:pPr>
      <w:r>
        <w:rPr>
          <w:rFonts w:ascii="Times New Roman" w:cs="Times New Roman" w:hAnsi="Times New Roman"/>
          <w:b/>
          <w:bCs/>
          <w:color w:val="auto"/>
          <w:sz w:val="28"/>
          <w:szCs w:val="28"/>
        </w:rPr>
        <w:t>Заключение</w:t>
      </w:r>
      <w:bookmarkEnd w:id="10"/>
    </w:p>
    <w:p w14:paraId="00000685">
      <w:pPr>
        <w:spacing w:beforeAutospacing="0" w:after="0" w:afterAutospacing="0" w:line="360" w:lineRule="auto"/>
        <w:ind w:firstLine="709"/>
        <w:jc w:val="both"/>
        <w:rPr>
          <w:rFonts w:ascii="Times New Roman" w:cs="Times New Roman" w:hAnsi="Times New Roman"/>
          <w:sz w:val="28"/>
          <w:szCs w:val="28"/>
        </w:rPr>
      </w:pPr>
    </w:p>
    <w:p w14:paraId="00000686">
      <w:pPr>
        <w:spacing w:beforeAutospacing="0" w:after="0" w:afterAutospacing="0" w:line="360" w:lineRule="auto"/>
        <w:ind w:firstLine="709"/>
        <w:jc w:val="both"/>
        <w:rPr>
          <w:rFonts w:ascii="Times New Roman" w:cs="Times New Roman" w:hAnsi="Times New Roman"/>
          <w:sz w:val="28"/>
          <w:szCs w:val="28"/>
        </w:rPr>
      </w:pPr>
    </w:p>
    <w:p w14:paraId="0000068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В результате выполнения выпускной квалификационной работы на тему «Разработка бизнес-плана создания предприятия по производству </w:t>
      </w:r>
      <w:r>
        <w:rPr>
          <w:rFonts w:ascii="Times New Roman" w:cs="Times New Roman" w:hAnsi="Times New Roman"/>
          <w:sz w:val="28"/>
          <w:szCs w:val="28"/>
        </w:rPr>
        <w:t>гиперпрессованного кирпича» были решены поставленные задачи и сделаны следующие выводы.</w:t>
      </w:r>
    </w:p>
    <w:p w14:paraId="0000068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первой главе работы были рассмотрены теоретико-методические основы проектной деятельности применительно к созданию производственного предприятия. Установлено, что проект создания предприятия по производству гиперпрессованного кирпича относится к категории инвестиционных проектов с длительным жизненным циклом (инвестиционная фаза 1,5–2 года). Ключевыми особенностями такого проекта являются высокая капиталоёмкость (порог входа – от 60 до 100 млн рублей), длительный срок окупаемости (3–7 лет), зависимость от сырьевой базы, сезонность строительного рынка и жёсткие требования к сертификации продукции.</w:t>
      </w:r>
    </w:p>
    <w:p w14:paraId="00000689">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Анализ современных методических подходов к управлению проектами показал, что для разработки бизнес-плана создания промышленного предприятия наиболее эффективным является синтезированный подход, объединяющий методику UNIDO (детализация производственного плана и оценка эффективности инвестиций), методику TACIS (учёт российской нормативно-правовой специфики) и методику EBRD (подготовка финансовой модели для кредитных организаций). Дополнительно рекомендуется использовать принципы Lean Project Management для оптимизации сроков и бюджета строительной фазы.</w:t>
      </w:r>
    </w:p>
    <w:p w14:paraId="0000068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Нормативно-правовое регулирование реализации проектов в РФ представляет собой многоуровневую систему, включающую Гражданский, Налоговый, Земельный, Градостроительный кодексы, федеральные законы о стратегическом планировании, государственно-частном партнёрстве, концессиях, защите капиталовложений, а также технические регламенты и санитарные правила. Соблюдение всех перечисленных требований является обязательным условием законного функционирования предприятия и снижения рисков административной ответственности.</w:t>
      </w:r>
    </w:p>
    <w:p w14:paraId="0000068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Во второй главе проведён анализ текущего состояния рынка строительного кирпича в Российской Федерации и Пензенской области. Установлено, что рынок находится в фазе спада: производство кирпича в России в 2025 году сократилось на 7,3% по сравнению с 2024 годом. В Пензенской области объём производства строительного кирпича в 2025 году составил около 85 млн условных штук, что на 11,5% ниже уровня 2023 года. Основными причинами являются замедление темпов жилищного строительства после отмены массовой льготной ипотеки, рост ключевой ставки ЦБ РФ, удорожание строительных материалов и активное замещение кирпича альтернативными стеновыми материалами (газобетон, керамические блоки). При этом цены на кирпич продолжают расти (+11,2% в 2025 году до 11,9 тыс. руб. за 1 тыс. условных штук) за счёт удорожания сырья, энергоносителей и логистики.</w:t>
      </w:r>
    </w:p>
    <w:p w14:paraId="0000068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Конкурентный анализ показал, что в Пензенской области отсутствует местное производство гиперпрессованного кирпича. Основной объём продукции завозится из Тульской, Московской и Самарской областей, что увеличивает конечную цену для потребителя на 20–30% за счёт транспортных расходов. Ближайший конкурент – компания «Федерация кирпича» (Самарская область) – имеет ограниченный ассортимент (5–6 цветов) и нестабильное качество. Проектируемое предприятие с ценой 25–30 руб./шт., ассортиментом 12 цветов, возможностью изготовления нестандартных размеров и гарантией 5 лет обладает значительными конкурентными преимуществами. При выходе на проектную мощность предприятие сможет занять до 30–40% рынка гиперпрессованного кирпича в регионе.</w:t>
      </w:r>
    </w:p>
    <w:p w14:paraId="0000068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Анализ потребителей показал, что целевая аудитория предприятия включает профессиональных застройщиков (60–70% спроса) и частных застройщиков в сегменте ИЖС (20–25%). В Пензенской области доля ИЖС в общем вводе жилья составляет около 56%, что выше среднероссийских показателей. Ключевыми критериями выбора для профессиональных </w:t>
      </w:r>
      <w:r>
        <w:rPr>
          <w:rFonts w:ascii="Times New Roman" w:cs="Times New Roman" w:hAnsi="Times New Roman"/>
          <w:sz w:val="28"/>
          <w:szCs w:val="28"/>
        </w:rPr>
        <w:t>застройщиков являются качество и соответствие ГОСТ, стабильность поставок, а для частных – эстетика, долговечность и экологичность материала. Наиболее популярны терракотовый цвет (50% опрошенных) и фактура «скала» (60%). Выявлена сезонность спроса (пик – апрель-сентябрь), что требует формирования складских запасов в зимний период.</w:t>
      </w:r>
    </w:p>
    <w:p w14:paraId="0000068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В третьей главе разработана система управления и организационно-функциональные характеристики предприятия. Предложена линейно-функциональная структура управления с численностью персонала 17 человек. Штатное расписание включает административно-управленческий персонал (9 человек) и производственный персонал (8 человек). Разработана система мотивации, предполагающая сдельно-премиальную оплату для производственных рабочих и окладно-премиальную с KPI для менеджеров. Фонд оплаты труда с отчислениями составляет около 1 млн рублей в месяц.</w:t>
      </w:r>
    </w:p>
    <w:p w14:paraId="0000068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Сформирована стратегия развития предприятия – стратегия фокусированной дифференциации, предполагающая концентрацию усилий на сегменте ИЖС Пензенской области и создание продукта с уникальными свойствами (широкая цветовая гамма – 12 цветов, разнообразные фактуры, возможность изготовления под заказ, высокие эксплуатационные характеристики). Определены три этапа реализации стратегии: первый год – запуск и закрепление (загрузка 60% мощности), второй-третий год – рост и расширение (выход на полную мощность, расширение ассортимента, выход на соседние регионы), четвёртый-пятый год – диверсификация и масштабирование.</w:t>
      </w:r>
    </w:p>
    <w:p w14:paraId="0000069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Разработаны предложения по организации операционных и логистических процессов. Технологическая схема включает приёмку и хранение сырья, дозирование и смешивание, гиперпрессование, выдержку и контроль качества. Система контроля качества охватывает входной, операционный и приёмочный контроль в соответствии с ГОСТ 6133-2019. Логистическая схема ориентирована на использование местных источников сырья (отсевы с карьеров Пензенской области, расстояние 50–100 км) и </w:t>
      </w:r>
      <w:r>
        <w:rPr>
          <w:rFonts w:ascii="Times New Roman" w:cs="Times New Roman" w:hAnsi="Times New Roman"/>
          <w:sz w:val="28"/>
          <w:szCs w:val="28"/>
        </w:rPr>
        <w:t>доставку готовой продукции собственным транспортом в радиусе 300 км (вся Пензенская область, часть Мордовии, Тамбовской, Рязанской и Саратовской областей). Предложены мероприятия по энергоэффективности (частотные преобразователи, светодиодное освещение, рекуперация тепла) и экологии (аспирационные системы, оборотное водоснабжение, утилизация брака), позволяющие снизить операционные расходы на 15–20% и соответствовать новым экологическим требованиям.</w:t>
      </w:r>
    </w:p>
    <w:p w14:paraId="0000069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Экономическое обоснование подтвердило финансовую состоятельность проекта. Капитальные затраты составляют 87 млн рублей, основные статьи – оборудование (47 млн руб., 54%), строительно-монтажные работы (12 млн руб., 14%) и оборотные средства (10 млн руб., 12%). При плановой загрузке первого года 60% (6 млн штук кирпича) выручка составит 168 млн рублей, чистая прибыль – 34 млн рублей. К пятому году при загрузке 95% выручка достигнет 304 млн рублей, чистая прибыль – 83,3 млн рублей.</w:t>
      </w:r>
    </w:p>
    <w:p w14:paraId="00000692">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Точка безубыточности – 3,54 млн штук в год (35–40% от проектной мощности), запас прочности в первый год – 41%. NPV проекта (при ставке дисконтирования 15%) – 131,6 млн рублей, PI – 2,51, IRR – 35–38%, дисконтированный срок окупаемости – 2,18 года. Анализ чувствительности подтвердил устойчивость проекта к колебаниям рыночных параметров: даже при снижении цены на 20% NPV остаётся положительным (75 млн руб.). Наиболее значимыми факторами являются цена реализации и переменные затраты, поэтому в стратегии предприятия необходимо сделать акцент на удержание цен за счёт качества и контроль закупочных цен на сырьё.</w:t>
      </w:r>
    </w:p>
    <w:p w14:paraId="00000693">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Разработанный бизнес-план создания предприятия по производству гиперпрессованного кирпича является экономически обоснованным и финансово реализуемым. Проект характеризуется умеренными инвестиционными рисками, высокой нормой доходности (IRR 35–38%) и приемлемым сроком окупаемости (2,18 года с учётом дисконтирования).</w:t>
      </w:r>
    </w:p>
    <w:p w14:paraId="00000694">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Реализация проекта позволит:</w:t>
      </w:r>
    </w:p>
    <w:p w14:paraId="00000695">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1) создать новое производственное предприятие в строительной отрасли Пензенской области;</w:t>
      </w:r>
    </w:p>
    <w:p w14:paraId="00000696">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2) обеспечить рабочие места для 17 человек со средней заработной платой выше среднеобластного уровня;</w:t>
      </w:r>
    </w:p>
    <w:p w14:paraId="00000697">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3) заместить привозной гиперпрессованный кирпич (из Тульской, Московской, Самарской областей) местной продукцией, снизив цены для потребителей на 20–30%;</w:t>
      </w:r>
    </w:p>
    <w:p w14:paraId="00000698">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4) обеспечить поступление налогов в бюджеты всех уровней (оценочно – более 10 млн руб. в год).</w:t>
      </w:r>
    </w:p>
    <w:p w14:paraId="00000699">
      <w:pPr>
        <w:spacing w:beforeAutospacing="0" w:after="0" w:afterAutospacing="0" w:line="360" w:lineRule="auto"/>
        <w:ind w:firstLine="709"/>
        <w:jc w:val="both"/>
        <w:rPr>
          <w:rFonts w:ascii="Times New Roman" w:cs="Times New Roman" w:hAnsi="Times New Roman"/>
          <w:bCs/>
          <w:sz w:val="28"/>
          <w:szCs w:val="28"/>
        </w:rPr>
      </w:pPr>
      <w:r>
        <w:rPr>
          <w:rFonts w:ascii="Times New Roman" w:cs="Times New Roman" w:hAnsi="Times New Roman"/>
          <w:bCs/>
          <w:sz w:val="28"/>
          <w:szCs w:val="28"/>
        </w:rPr>
        <w:t>Рекомендации для практической реализации проекта:</w:t>
      </w:r>
    </w:p>
    <w:p w14:paraId="0000069A">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1) разместить производство в г. Пензе (промышленная зона – Терновка, Арбеково или Заречный) для минимизации транспортных расходов и удобства доставки готовой продукции потребителям;</w:t>
      </w:r>
    </w:p>
    <w:p w14:paraId="0000069B">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2) приобрести оборудование (пресс «Монолит-10», смеситель, пропарочную камеру) у российских производителей – это исключает санкционные риски и упрощает сервисное обслуживание;</w:t>
      </w:r>
    </w:p>
    <w:p w14:paraId="0000069C">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3) заключить долгосрочные контракты на поставку отсевов известняка с карьерами Пензенской области (Лунинский, Каменский, Нижнеломовский районы) и цемента – с заводами Приволжья («Мордовцемент», «Ульяновскцемент»);</w:t>
      </w:r>
    </w:p>
    <w:p w14:paraId="0000069D">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4) пройти процедуру регистрации ООО в ИФНС по Пензенской области, оформить декларацию соответствия ТР ТС 011/2011 и добровольный сертификат ISO 9001;</w:t>
      </w:r>
    </w:p>
    <w:p w14:paraId="0000069E">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5) наладить партнёрство с Пензенским государственным университетом архитектуры и строительства (ПГУАС) и Пензенским центром стандартизации и метрологии (Пензенский ЦСМ) для проведения испытаний продукции и привлечения молодых специалистов;</w:t>
      </w:r>
    </w:p>
    <w:p w14:paraId="0000069F">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 xml:space="preserve">6) использовать меры государственной поддержки малого и среднего предпринимательства, доступные в Пензенской области: льготные кредиты (в том числе через Корпорацию МСП), гранты Фонда содействия </w:t>
      </w:r>
      <w:r>
        <w:rPr>
          <w:rFonts w:ascii="Times New Roman" w:cs="Times New Roman" w:hAnsi="Times New Roman"/>
          <w:sz w:val="28"/>
          <w:szCs w:val="28"/>
        </w:rPr>
        <w:t>инновациям (программа «Старт»), субсидии на приобретение оборудования, лизинг с государственной поддержкой;</w:t>
      </w:r>
    </w:p>
    <w:p w14:paraId="000006A0">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7) при формировании ассортиментной политики сделать акцент на терракотовый цвет (50% спроса) и фактуру «скала» (60% спроса), а также предусмотреть возможность изготовления нестандартных размеров под заказ;</w:t>
      </w:r>
    </w:p>
    <w:p w14:paraId="000006A1">
      <w:pPr>
        <w:spacing w:beforeAutospacing="0" w:after="0" w:afterAutospacing="0" w:line="360" w:lineRule="auto"/>
        <w:ind w:firstLine="709"/>
        <w:jc w:val="both"/>
        <w:rPr>
          <w:rFonts w:ascii="Times New Roman" w:cs="Times New Roman" w:hAnsi="Times New Roman"/>
          <w:sz w:val="28"/>
          <w:szCs w:val="28"/>
        </w:rPr>
      </w:pPr>
      <w:r>
        <w:rPr>
          <w:rFonts w:ascii="Times New Roman" w:cs="Times New Roman" w:hAnsi="Times New Roman"/>
          <w:sz w:val="28"/>
          <w:szCs w:val="28"/>
        </w:rPr>
        <w:t>8) разработать программу продвижения, включающую прямые продажи профессиональным застройщикам, интернет-маркетинг для частных застройщиков (сайт, контекстная реклама с геотаргетингом на Пензу и область) и работу с архитектурными бюро города.</w:t>
      </w:r>
    </w:p>
    <w:p w14:paraId="000006A2">
      <w:pPr>
        <w:spacing w:beforeAutospacing="0" w:after="0" w:afterAutospacing="0" w:line="360" w:lineRule="auto"/>
        <w:ind w:firstLine="709"/>
        <w:jc w:val="both"/>
        <w:rPr>
          <w:rFonts w:ascii="Times New Roman" w:cs="Times New Roman" w:hAnsi="Times New Roman"/>
          <w:b/>
          <w:bCs/>
          <w:sz w:val="28"/>
          <w:szCs w:val="28"/>
        </w:rPr>
      </w:pPr>
      <w:r>
        <w:rPr>
          <w:rFonts w:ascii="Times New Roman" w:cs="Times New Roman" w:hAnsi="Times New Roman"/>
          <w:sz w:val="28"/>
          <w:szCs w:val="28"/>
        </w:rPr>
        <w:t>При соблюдении запланированных параметров и своевременной корректировке стратегии в ответ на изменения внешней среды (динамика ключевой ставки, цены на цемент, конкурентная среда) проект имеет высокие шансы на успешную реализацию и стабильную прибыльную работу в долгосрочной перспективе.</w:t>
      </w:r>
      <w:bookmarkStart w:id="11" w:name="_Toc232406686"/>
    </w:p>
    <w:p w14:paraId="000006A3">
      <w:pPr>
        <w:spacing w:beforeAutospacing="0" w:after="0" w:afterAutospacing="0" w:line="360" w:lineRule="auto"/>
        <w:ind w:firstLine="709"/>
        <w:jc w:val="both"/>
        <w:rPr>
          <w:rFonts w:ascii="Times New Roman" w:cs="Times New Roman" w:hAnsi="Times New Roman"/>
          <w:b/>
          <w:bCs/>
          <w:sz w:val="28"/>
          <w:szCs w:val="28"/>
        </w:rPr>
      </w:pPr>
    </w:p>
    <w:p w14:paraId="000006A4">
      <w:pPr>
        <w:spacing w:beforeAutospacing="0" w:after="0" w:afterAutospacing="0" w:line="360" w:lineRule="auto"/>
        <w:ind w:firstLine="709"/>
        <w:jc w:val="both"/>
        <w:rPr>
          <w:rFonts w:ascii="Times New Roman" w:cs="Times New Roman" w:hAnsi="Times New Roman"/>
          <w:b/>
          <w:bCs/>
          <w:sz w:val="28"/>
          <w:szCs w:val="28"/>
        </w:rPr>
      </w:pPr>
    </w:p>
    <w:p w14:paraId="000006A5">
      <w:pPr>
        <w:spacing w:beforeAutospacing="0" w:after="0" w:afterAutospacing="0" w:line="360" w:lineRule="auto"/>
        <w:ind w:firstLine="709"/>
        <w:jc w:val="both"/>
        <w:rPr>
          <w:rFonts w:ascii="Times New Roman" w:cs="Times New Roman" w:hAnsi="Times New Roman"/>
          <w:b/>
          <w:bCs/>
          <w:sz w:val="28"/>
          <w:szCs w:val="28"/>
        </w:rPr>
      </w:pPr>
    </w:p>
    <w:p w14:paraId="000006A6">
      <w:pPr>
        <w:spacing w:beforeAutospacing="0" w:after="0" w:afterAutospacing="0" w:line="360" w:lineRule="auto"/>
        <w:ind w:firstLine="709"/>
        <w:jc w:val="both"/>
        <w:rPr>
          <w:rFonts w:ascii="Times New Roman" w:cs="Times New Roman" w:hAnsi="Times New Roman"/>
          <w:b/>
          <w:bCs/>
          <w:sz w:val="28"/>
          <w:szCs w:val="28"/>
        </w:rPr>
      </w:pPr>
    </w:p>
    <w:p w14:paraId="000006A7">
      <w:pPr>
        <w:spacing w:beforeAutospacing="0" w:after="0" w:afterAutospacing="0" w:line="360" w:lineRule="auto"/>
        <w:ind w:firstLine="709"/>
        <w:jc w:val="both"/>
        <w:rPr>
          <w:rFonts w:ascii="Times New Roman" w:cs="Times New Roman" w:hAnsi="Times New Roman"/>
          <w:b/>
          <w:bCs/>
          <w:sz w:val="28"/>
          <w:szCs w:val="28"/>
        </w:rPr>
      </w:pPr>
    </w:p>
    <w:p w14:paraId="000006A8">
      <w:pPr>
        <w:pStyle w:val="Heading1"/>
        <w:spacing w:before="0" w:beforeAutospacing="0" w:afterAutospacing="0" w:line="360" w:lineRule="auto"/>
        <w:ind w:firstLine="709"/>
        <w:rPr>
          <w:rFonts w:ascii="Times New Roman" w:cs="Times New Roman" w:hAnsi="Times New Roman"/>
          <w:b/>
          <w:bCs/>
          <w:color w:val="auto"/>
          <w:sz w:val="28"/>
          <w:szCs w:val="28"/>
        </w:rPr>
      </w:pPr>
    </w:p>
    <w:p w14:paraId="000006A9">
      <w:pPr>
        <w:pStyle w:val="Normal"/>
        <w:spacing w:before="0" w:beforeAutospacing="0" w:afterAutospacing="0" w:line="360" w:lineRule="auto"/>
        <w:ind w:firstLine="709"/>
        <w:rPr/>
      </w:pPr>
    </w:p>
    <w:p w14:paraId="000006AA">
      <w:pPr>
        <w:pStyle w:val="Normal"/>
        <w:spacing w:before="0" w:beforeAutospacing="0" w:afterAutospacing="0" w:line="360" w:lineRule="auto"/>
        <w:ind w:firstLine="709"/>
        <w:rPr/>
      </w:pPr>
    </w:p>
    <w:p w14:paraId="000006AB">
      <w:pPr>
        <w:pStyle w:val="Normal"/>
        <w:spacing w:before="0" w:beforeAutospacing="0" w:afterAutospacing="0" w:line="360" w:lineRule="auto"/>
        <w:ind w:firstLine="709"/>
        <w:rPr/>
      </w:pPr>
    </w:p>
    <w:p w14:paraId="000006AC">
      <w:pPr>
        <w:pStyle w:val="Heading1"/>
        <w:spacing w:before="0" w:beforeAutospacing="0" w:afterAutospacing="0" w:line="360" w:lineRule="auto"/>
        <w:ind w:firstLine="709"/>
        <w:rPr>
          <w:rFonts w:ascii="Times New Roman" w:cs="Times New Roman" w:hAnsi="Times New Roman"/>
          <w:b/>
          <w:bCs/>
          <w:color w:val="auto"/>
          <w:sz w:val="28"/>
          <w:szCs w:val="28"/>
        </w:rPr>
      </w:pPr>
      <w:r>
        <w:rPr>
          <w:rFonts w:ascii="Times New Roman" w:cs="Times New Roman" w:hAnsi="Times New Roman"/>
          <w:b/>
          <w:bCs/>
          <w:color w:val="auto"/>
          <w:sz w:val="28"/>
          <w:szCs w:val="28"/>
        </w:rPr>
        <w:t>Список использованных источников</w:t>
      </w:r>
      <w:bookmarkEnd w:id="11"/>
    </w:p>
    <w:p w14:paraId="000006AD">
      <w:pPr>
        <w:spacing w:beforeAutospacing="0" w:after="0" w:afterAutospacing="0" w:line="360" w:lineRule="auto"/>
        <w:ind w:firstLine="706"/>
        <w:jc w:val="both"/>
        <w:rPr>
          <w:rFonts w:ascii="Times New Roman" w:eastAsia="Times New Roman" w:hAnsi="Times New Roman"/>
          <w:sz w:val="28"/>
        </w:rPr>
      </w:pPr>
    </w:p>
    <w:p w14:paraId="000006AE">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p>
    <w:p w14:paraId="000006AF">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 Конституция Российской Федерации : принята всенародным голосованием 12.12.1993 (с изменениями, одобренными в ходе общероссийского голосования 01.07.2020). — Текст : электронный // Официальный интернет-портал правовой информации. — URL: http://pravo.gov.ru (дата обращения: 15.03.2026).</w:t>
      </w:r>
    </w:p>
    <w:p w14:paraId="000006B0">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 Гражданский кодекс Российской Федерации (часть первая) : федер. закон от 30.11.1994 № 51-ФЗ (ред. от 28.04.2023). — Текст : электронный // Официальный интернет-портал правовой информации. — URL: http://pravo.gov.ru (дата обращения: 16.03.2026).</w:t>
      </w:r>
    </w:p>
    <w:p w14:paraId="000006B1">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 Налоговый кодекс Российской Федерации (часть вторая) : федер. закон от 05.08.2000 № 117-ФЗ (ред. от 19.02.2025). — Текст : электронный // Официальный интернет-портал правовой информации. — URL: http://pravo.gov.ru (дата обращения: 17.03.2026).</w:t>
      </w:r>
    </w:p>
    <w:p w14:paraId="000006B2">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 Земельный кодекс Российской Федерации : федер. закон от 25.10.2001 № 136-ФЗ (ред. от 25.12.2023). — Текст : электронный // Официальный интернет-портал правовой информации. — URL: http://pravo.gov.ru (дата обращения: 18.03.2026).</w:t>
      </w:r>
    </w:p>
    <w:p w14:paraId="000006B3">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 Градостроительный кодекс Российской Федерации : федер. закон от 29.12.2004 № 190-ФЗ (ред. от 25.12.2023). — Текст : электронный // Официальный интернет-портал правовой информации. — URL: http://pravo.gov.ru (дата обращения: 19.03.2026).</w:t>
      </w:r>
    </w:p>
    <w:p w14:paraId="000006B4">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6. Трудовой кодекс Российской Федерации : федер. закон от 30.12.2001 № 197-ФЗ (ред. от 06.04.2024). — Текст : электронный // Официальный интернет-портал правовой информации. — URL: http://pravo.gov.ru (дата обращения: 20.03.2026).</w:t>
      </w:r>
    </w:p>
    <w:p w14:paraId="000006B5">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7. Кодекс Российской Федерации об административных правонарушениях: федер. закон от 30.12.2001 № 195-ФЗ (ред. от 08.01.2026). — Текст : электронный // Официальный интернет-портал правовой информации. — URL: http://pravo.gov.ru (дата обращения: 21.03.2026).</w:t>
      </w:r>
    </w:p>
    <w:p w14:paraId="000006B6">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8. О стратегическом планировании в Российской Федерации : федер. закон от 28.06.2014 № 172-ФЗ (ред. от 28.12.2024). — Текст : электронный // Официальный интернет-портал правовой информации. — URL: http://pravo.gov.ru (дата обращения: 22.03.2026).</w:t>
      </w:r>
    </w:p>
    <w:p w14:paraId="000006B7">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9. О государственно-частном партнёрстве, муниципально-частном партнёрстве в Российской Федерации : федер. закон от 13.07.2015 № 224-ФЗ (ред. от 28.12.2025). — Текст : электронный // Официальный интернет-портал правовой информации. — URL: http://pravo.gov.ru (дата обращения: 23.03.2026).</w:t>
      </w:r>
    </w:p>
    <w:p w14:paraId="000006B8">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10. О защите и поощрении капиталовложений в Российской Федерации : федер. закон от 01.04.2020 № 69-ФЗ (ред. от 04.11.2025). — Текст : электронный // Официальный интернет-портал правовой информации. — URL: http://pravo.gov.ru (дата обращения: 25.03.2026).</w:t>
      </w:r>
    </w:p>
    <w:p w14:paraId="000006B9">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11. О развитии малого и среднего предпринимательства в Российской Федерации : федер. закон от 24.07.2007 № 209-ФЗ (ред. от 04.08.2023). — Текст : электронный // Официальный интернет-портал правовой информации. — URL: http://pravo.gov.ru (дата обращения: 26.03.2026).</w:t>
      </w:r>
    </w:p>
    <w:p w14:paraId="000006BA">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12. О техническом регулировании : федер. закон от 27.12.2002 № 184-ФЗ (ред. от 02.07.2021). — Текст : электронный // Официальный интернет-портал правовой информации. — URL: http://pravo.gov.ru (дата обращения: 27.03.2026).</w:t>
      </w:r>
    </w:p>
    <w:p w14:paraId="000006BB">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13. Технический регламент Таможенного союза «О безопасности зданий и сооружений» (ТР ТС 011/2011) : утв. Решением Комиссии Таможенного союза от 18.10.2011 № 835. — Текст : электронный // Евразийская экономическая комиссия. — URL: https://eec.eaeunion.org (дата обращения: 31.03.2026).</w:t>
      </w:r>
    </w:p>
    <w:p w14:paraId="000006BC">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14. ГОСТ Р ИСО 21500—2014. Руководство по проектному менеджменту. </w:t>
      </w:r>
      <w:r>
        <w:rPr>
          <w:rFonts w:ascii="Times New Roman" w:cs="Times New Roman" w:hAnsi="Times New Roman"/>
          <w:outline w:val="off"/>
          <w:shadow w:val="off"/>
          <w:emboss w:val="off"/>
          <w:imprint w:val="off"/>
          <w:color w:val="auto"/>
          <w:spacing w:val="0"/>
          <w:sz w:val="28"/>
          <w:szCs w:val="28"/>
        </w:rPr>
        <w:t xml:space="preserve">— М. : Стандартинформ, 2021. — Текст : электронный // DocsCNTD. — URL: </w:t>
      </w:r>
    </w:p>
    <w:p w14:paraId="000006BD">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right="0"/>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https://docs.cntd.ru (дата обращения: 02.04.2026).</w:t>
      </w:r>
    </w:p>
    <w:p w14:paraId="000006BE">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15. ГОСТ Р 54869—2011. Проектный менеджмент. Требования к управлению проектом. — М. : Стандартинформ, 2021. — Текст : электронный // DocsCNTD. — URL: https://docs.cntd.ru (дата обращения: 03.04.2026).</w:t>
      </w:r>
    </w:p>
    <w:p w14:paraId="000006BF">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16. Методические рекомендации по оценке эффективности инвестиционных проектов : утв. Минэкономики РФ № ВК 477 от 21.06.1999, актуальная редакция.</w:t>
      </w:r>
    </w:p>
    <w:p w14:paraId="000006C0">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17. Асаул А. Н. Бизнес-планирование: современные подходы и инструменты / А. Н. Асаул, Н. И. Пасяда. — СПб. : Гуманистика, 2023.</w:t>
      </w:r>
    </w:p>
    <w:p w14:paraId="000006C1">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18. Афонасова М. А. Бизнес-планирование : учебное пособие / М. А. Афонасова. — Томск : ТУСУР, 2022.</w:t>
      </w:r>
    </w:p>
    <w:p w14:paraId="000006C2">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19. Баринов В. А. Бизнес-планирование : учебное пособие / В. А. Баринов. — М. : Форум : ИНФРА-М, 2024.</w:t>
      </w:r>
    </w:p>
    <w:p w14:paraId="000006C3">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20. Бухалков М. И. Планирование на предприятии / М. И. Бухалков. — М. : ИНФРА-М, 2022.</w:t>
      </w:r>
    </w:p>
    <w:p w14:paraId="000006C4">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21. Волков А. С. Бизнес-планирование : учебное пособие / А. С. Волков. — М. : Дашков и К, 2024.</w:t>
      </w:r>
    </w:p>
    <w:p w14:paraId="000006C5">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22. Воропаев В. И. Управление проектами в России / В. И. Воропаев. — М.: Альпина Паблишер, 2022.</w:t>
      </w:r>
    </w:p>
    <w:p w14:paraId="000006C6">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23. Головань С. И. Бизнес-планирование / С. И. Головань. — М. : Дашков и К°, 2023.</w:t>
      </w:r>
    </w:p>
    <w:p w14:paraId="000006C7">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24. Денисова Н. И. Проектный менеджмент в промышленности / Н. И. Денисова. — Екатеринбург : УрФУ, 2024.</w:t>
      </w:r>
    </w:p>
    <w:p w14:paraId="000006C8">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25. Дыбская В. В. Логистика производственных предприятий : учебное пособие / под ред. В. В. Дыбской. — М. : ИНФРА-М, 2024.</w:t>
      </w:r>
    </w:p>
    <w:p w14:paraId="000006C9">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26. Ефимова О. В. Финансовый анализ инвестиционных проектов / О. В. Ефимова. — М. : Бухгалтерский учёт, 2024.</w:t>
      </w:r>
    </w:p>
    <w:p w14:paraId="000006CA">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27. Загородников С. В. Управление проектами / С. В. Загородников. — М. : Омега-Л, 2023.</w:t>
      </w:r>
    </w:p>
    <w:p w14:paraId="000006CB">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28. Ильин А. И. Планирование на предприятии / А. И. Ильин. — Минск : Новое знание, 2023.</w:t>
      </w:r>
    </w:p>
    <w:p w14:paraId="000006CC">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29. Ковалёв В. В. Бизнес-планирование. Полное руководство / под ред. В. В. Ковалёва. — М. : Проспект, 2024.</w:t>
      </w:r>
    </w:p>
    <w:p w14:paraId="000006CD">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30. Коновалова М. Е. Организация производства строительных материалов / М. Е. Коновалова. — Пенза : ПГУАС, 2023.</w:t>
      </w:r>
    </w:p>
    <w:p w14:paraId="000006CE">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31. Королёв И. В. Технология гиперпрессованного кирпича / И. В. Королёв // Строительные материалы и технологии. — 2024. — № 5.</w:t>
      </w:r>
    </w:p>
    <w:p w14:paraId="000006CF">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32. Кузнецов А. А. Энергоэффективность промышленных предприятий : практическое руководство / под ред. А. А. Кузнецова. — М. : Энергоатомиздат, 2025.</w:t>
      </w:r>
    </w:p>
    <w:p w14:paraId="000006D0">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33. Купцова Е. В. Бизнес-планирование : учебник и практикум для вузов / Е. В. Купцова, А. А. Степанов. — М. : Юрайт, 2024.</w:t>
      </w:r>
    </w:p>
    <w:p w14:paraId="000006D1">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34. Лапыгин Ю. Н. Бизнес-план: стратегии и тактика развития компании / Ю. Н. Лапыгин. — М. : Омега-Л, 2024.</w:t>
      </w:r>
    </w:p>
    <w:p w14:paraId="000006D2">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35. Львова Н. А. Инвестиционное проектирование : учебник / под ред. Н. А. Львовой. — М. : ИНФРА-М, 2024.</w:t>
      </w:r>
    </w:p>
    <w:p w14:paraId="000006D3">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36. Ломакин С. В. Пензенский государственный университет архитектуры и строительства. Научные труды кафедры строительных материалов : сборник статей. / </w:t>
      </w:r>
      <w:r>
        <w:rPr>
          <w:rFonts w:ascii="Times New Roman" w:cs="Times New Roman" w:hAnsi="Times New Roman"/>
          <w:outline w:val="off"/>
          <w:shadow w:val="off"/>
          <w:emboss w:val="off"/>
          <w:imprint w:val="off"/>
          <w:color w:val="auto"/>
          <w:spacing w:val="0"/>
          <w:sz w:val="28"/>
          <w:szCs w:val="28"/>
        </w:rPr>
        <w:t xml:space="preserve">Ломакин С. В. </w:t>
      </w:r>
      <w:r>
        <w:rPr>
          <w:rFonts w:ascii="Times New Roman" w:cs="Times New Roman" w:hAnsi="Times New Roman"/>
          <w:outline w:val="off"/>
          <w:shadow w:val="off"/>
          <w:emboss w:val="off"/>
          <w:imprint w:val="off"/>
          <w:color w:val="auto"/>
          <w:spacing w:val="0"/>
          <w:sz w:val="28"/>
          <w:szCs w:val="28"/>
        </w:rPr>
        <w:t>— Пенза : ПГУАС, 2025.</w:t>
      </w:r>
    </w:p>
    <w:p w14:paraId="000006D4">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37. Мазур И. И. Управление проектами / И. И. Мазур, В. Д. Шапиро. — М.: Омега-Л, 2023.</w:t>
      </w:r>
    </w:p>
    <w:p w14:paraId="000006D5">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38. Михайлов Н. Ю. Материалы и изделия строительные. Контроль качества : справочное пособие. / </w:t>
      </w:r>
      <w:r>
        <w:rPr>
          <w:rFonts w:ascii="Times New Roman" w:cs="Times New Roman" w:hAnsi="Times New Roman"/>
          <w:outline w:val="off"/>
          <w:shadow w:val="off"/>
          <w:emboss w:val="off"/>
          <w:imprint w:val="off"/>
          <w:color w:val="auto"/>
          <w:spacing w:val="0"/>
          <w:sz w:val="28"/>
          <w:szCs w:val="28"/>
        </w:rPr>
        <w:t xml:space="preserve">Михайлов Н. Ю. </w:t>
      </w:r>
      <w:r>
        <w:rPr>
          <w:rFonts w:ascii="Times New Roman" w:cs="Times New Roman" w:hAnsi="Times New Roman"/>
          <w:outline w:val="off"/>
          <w:shadow w:val="off"/>
          <w:emboss w:val="off"/>
          <w:imprint w:val="off"/>
          <w:color w:val="auto"/>
          <w:spacing w:val="0"/>
          <w:sz w:val="28"/>
          <w:szCs w:val="28"/>
        </w:rPr>
        <w:t>— М. : Стандартинформ, 2024.</w:t>
      </w:r>
    </w:p>
    <w:p w14:paraId="000006D6">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39. Мишин В. М. Управление качеством / В. М. Мишин. — М. : ЮНИТИ-ДАНА, 2024.</w:t>
      </w:r>
    </w:p>
    <w:p w14:paraId="000006D7">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40. Нигай Е. А. Организация предприятий малого и среднего бизнеса : учебник / Е. А. Нигай, Е. С. Кошевая, К. В. Смицких. — М. : КноРус, 2023.</w:t>
      </w:r>
    </w:p>
    <w:p w14:paraId="000006D8">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41. </w:t>
      </w:r>
      <w:r>
        <w:rPr>
          <w:rFonts w:ascii="Times New Roman" w:cs="Times New Roman" w:hAnsi="Times New Roman"/>
          <w:outline w:val="off"/>
          <w:shadow w:val="off"/>
          <w:emboss w:val="off"/>
          <w:imprint w:val="off"/>
          <w:color w:val="auto"/>
          <w:spacing w:val="0"/>
          <w:sz w:val="28"/>
          <w:szCs w:val="28"/>
        </w:rPr>
        <w:t>Никифоров А.А. Основы профессиональных знаний и национальные требования к компетентности специалистов по управлению проектами : нормативно-методический документ / Национальная ассоциация управления проектами СОВНЕТ. — М. : СОВНЕТ, 2021. — Текст : электронный. — URL: https://sovnet.ru (дата обращения: 14.06.2026).</w:t>
      </w:r>
    </w:p>
    <w:p w14:paraId="000006D9">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 xml:space="preserve">42. </w:t>
      </w:r>
      <w:r>
        <w:rPr>
          <w:rFonts w:ascii="Times New Roman" w:cs="Times New Roman" w:hAnsi="Times New Roman"/>
          <w:outline w:val="off"/>
          <w:shadow w:val="off"/>
          <w:emboss w:val="off"/>
          <w:imprint w:val="off"/>
          <w:color w:val="auto"/>
          <w:spacing w:val="0"/>
          <w:sz w:val="28"/>
          <w:szCs w:val="28"/>
        </w:rPr>
        <w:t>Новиков Д. А. Теория управления проектами / Д. А. Новиков. — М. : Ленанд, 2023.</w:t>
      </w:r>
    </w:p>
    <w:p w14:paraId="000006DA">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43. Петрученя И. В. Сравнительный анализ методик составления бизнес-плана в современных условиях / И. В. Петрученя, Е. П. Данилов // Экономика и предпринимательство. — 2024. — № 8-2.</w:t>
      </w:r>
    </w:p>
    <w:p w14:paraId="000006DB">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44. Попов В. М. Бизнес-планирование и анализ инвестиционных проектов / В. М. Попов. — М. : Финансы и статистика, 2024.</w:t>
      </w:r>
    </w:p>
    <w:p w14:paraId="000006DC">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45. Разу М. Л. Управление программами и проектами / М. Л. Разу. — М. : ИНФРА-М, 2024.</w:t>
      </w:r>
    </w:p>
    <w:p w14:paraId="000006DD">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46. Романова М. В. Бизнес-планирование : учебное пособие / М. В. Романова. — М. : ИД «ФОРУМ» : ИНФРА-М, 2024.</w:t>
      </w:r>
    </w:p>
    <w:p w14:paraId="000006DE">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47. Савчук В. П. Оценка эффективности инвестиционных проектов / В. П. Савчук. — 2-е изд., перераб. и доп. — М. : Дело, 2024.</w:t>
      </w:r>
    </w:p>
    <w:p w14:paraId="000006DF">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48. Сергеев А. А. Бизнес-планирование : учебник и практикум для вузов / А. А. Сергеев. — 5-е изд., испр. и доп. — М. : Юрайт, 2025.</w:t>
      </w:r>
    </w:p>
    <w:p w14:paraId="000006E0">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49. Сергеев И. В. Экономика организации (предприятия) / И. В. Сергеев. — 10-е изд., перераб. и доп. — М. : Юрайт, 2024.</w:t>
      </w:r>
    </w:p>
    <w:p w14:paraId="000006E1">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50. Сухова Л. Ф. Практикум по разработке бизнес-плана и финансовому анализу предприятия / Л. Ф. Сухова. — 3-е изд., перераб. и доп. — М. : Финансы и статистика, 2024.</w:t>
      </w:r>
    </w:p>
    <w:p w14:paraId="000006E2">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51. Филимонова Н. Н. Современные подходы к разработке бизнес-плана на предприятии / Н. Н. Филимонова // Вестник экономики и менеджмента. — 2023. — № 3.</w:t>
      </w:r>
    </w:p>
    <w:p w14:paraId="000006E3">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52. Чараева М. В. Бизнес-планирование : учебное пособие / М. В. Чараева. — М. : Альфа-М : ИНФРА-М, 2024.</w:t>
      </w:r>
    </w:p>
    <w:p w14:paraId="000006E4">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53. Янковский К. П. Организация инвестиционной и инновационной деятельности / К. П. Янковский. — СПб. : Питер, 2023.</w:t>
      </w:r>
    </w:p>
    <w:p w14:paraId="000006E5">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54. Анализ рынка гиперпрессованного кирпича в России 2023—2025 гг. / Консалтинговая компания «Технологии Роста». — М., 2026.</w:t>
      </w:r>
    </w:p>
    <w:p w14:paraId="000006E6">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55. База данных Федеральной службы государственной статистики по Пензенской области (Пензастат) за 2023—2025 гг. — Текст : электронный. — URL: https://pnz.gks.ru (дата обращения: 10.06.2026).</w:t>
      </w:r>
    </w:p>
    <w:p w14:paraId="000006E7">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lang w:val="ru-RU"/>
        </w:rPr>
      </w:pPr>
      <w:r>
        <w:rPr>
          <w:rFonts w:ascii="Times New Roman" w:cs="Times New Roman" w:hAnsi="Times New Roman"/>
          <w:outline w:val="off"/>
          <w:shadow w:val="off"/>
          <w:emboss w:val="off"/>
          <w:imprint w:val="off"/>
          <w:color w:val="auto"/>
          <w:spacing w:val="0"/>
          <w:sz w:val="28"/>
          <w:szCs w:val="28"/>
        </w:rPr>
        <w:t xml:space="preserve">56. Министерство экономического развития и промышленности Пензенской области. Итоги работы строительной отрасли в 2023—2025 годах: аналитический обзор. — Пенза, 2026. </w:t>
      </w:r>
      <w:r>
        <w:rPr>
          <w:rFonts w:ascii="Times New Roman" w:cs="Times New Roman" w:hAnsi="Times New Roman"/>
          <w:outline w:val="off"/>
          <w:shadow w:val="off"/>
          <w:emboss w:val="off"/>
          <w:imprint w:val="off"/>
          <w:color w:val="auto"/>
          <w:spacing w:val="0"/>
          <w:sz w:val="28"/>
          <w:szCs w:val="28"/>
        </w:rPr>
        <w:t xml:space="preserve">— Текст : электронный. — URL: </w:t>
      </w:r>
      <w:r>
        <w:rPr>
          <w:rStyle w:val="Hyperlink"/>
          <w:rFonts w:ascii="Times New Roman" w:cs="Times New Roman" w:hAnsi="Times New Roman"/>
          <w:outline w:val="off"/>
          <w:shadow w:val="off"/>
          <w:emboss w:val="off"/>
          <w:imprint w:val="off"/>
          <w:spacing w:val="0"/>
          <w:sz w:val="28"/>
          <w:szCs w:val="28"/>
        </w:rPr>
        <w:fldChar w:fldCharType="begin"/>
      </w:r>
      <w:r>
        <w:rPr>
          <w:rStyle w:val="Hyperlink"/>
          <w:rFonts w:ascii="Times New Roman" w:cs="Times New Roman" w:hAnsi="Times New Roman"/>
          <w:outline w:val="off"/>
          <w:shadow w:val="off"/>
          <w:emboss w:val="off"/>
          <w:imprint w:val="off"/>
          <w:spacing w:val="0"/>
          <w:sz w:val="28"/>
          <w:szCs w:val="28"/>
        </w:rPr>
        <w:instrText xml:space="preserve">HYPERLINK "https://merp.pnzreg.ru/ekonomika/sotsialno-ekonomicheskoe-razvitie/Доклад%202025%20год.pdf?utm_source=chatgpt.com"</w:instrText>
      </w:r>
      <w:r>
        <w:rPr>
          <w:rStyle w:val="Hyperlink"/>
          <w:rFonts w:ascii="Times New Roman" w:cs="Times New Roman" w:hAnsi="Times New Roman"/>
          <w:outline w:val="off"/>
          <w:shadow w:val="off"/>
          <w:emboss w:val="off"/>
          <w:imprint w:val="off"/>
          <w:spacing w:val="0"/>
          <w:sz w:val="28"/>
          <w:szCs w:val="28"/>
        </w:rPr>
        <w:fldChar w:fldCharType="separate"/>
      </w:r>
      <w:r>
        <w:rPr>
          <w:rStyle w:val="Hyperlink"/>
          <w:rFonts w:ascii="Times New Roman" w:cs="Times New Roman" w:hAnsi="Times New Roman"/>
          <w:outline w:val="off"/>
          <w:shadow w:val="off"/>
          <w:emboss w:val="off"/>
          <w:imprint w:val="off"/>
          <w:spacing w:val="0"/>
          <w:sz w:val="28"/>
          <w:szCs w:val="28"/>
        </w:rPr>
        <w:t>https://merp.pnzreg.ru/ekonomika/sotsialno-ekonomicheskoe-razvitie/Доклад%202025%20год.pdf?utm_source=chatgpt.com</w:t>
      </w:r>
      <w:r>
        <w:rPr>
          <w:rFonts w:ascii="Times New Roman" w:cs="Times New Roman" w:hAnsi="Times New Roman"/>
          <w:outline w:val="off"/>
          <w:shadow w:val="off"/>
          <w:emboss w:val="off"/>
          <w:imprint w:val="off"/>
          <w:color w:val="auto"/>
          <w:spacing w:val="0"/>
          <w:sz w:val="28"/>
          <w:szCs w:val="28"/>
        </w:rPr>
        <w:fldChar w:fldCharType="end"/>
      </w:r>
      <w:r>
        <w:rPr>
          <w:rFonts w:ascii="Times New Roman" w:cs="Times New Roman" w:hAnsi="Times New Roman"/>
          <w:outline w:val="off"/>
          <w:shadow w:val="off"/>
          <w:emboss w:val="off"/>
          <w:imprint w:val="off"/>
          <w:color w:val="auto"/>
          <w:spacing w:val="0"/>
          <w:sz w:val="28"/>
          <w:szCs w:val="28"/>
        </w:rPr>
        <w:t xml:space="preserve"> </w:t>
      </w:r>
      <w:r>
        <w:rPr>
          <w:rFonts w:ascii="Times New Roman" w:cs="Times New Roman" w:hAnsi="Times New Roman"/>
          <w:outline w:val="off"/>
          <w:shadow w:val="off"/>
          <w:emboss w:val="off"/>
          <w:imprint w:val="off"/>
          <w:color w:val="auto"/>
          <w:spacing w:val="0"/>
          <w:sz w:val="28"/>
          <w:szCs w:val="28"/>
        </w:rPr>
        <w:t>(дата обращения: 10.06.2026).</w:t>
      </w:r>
    </w:p>
    <w:p w14:paraId="000006E8">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57. Национальное рейтинговое агентство. Обзор рынка строительных материалов РФ за 2024—2025 годы. — М., 2025.</w:t>
      </w:r>
      <w:r>
        <w:rPr>
          <w:rFonts w:ascii="Times New Roman" w:cs="Times New Roman" w:hAnsi="Times New Roman"/>
          <w:outline w:val="off"/>
          <w:shadow w:val="off"/>
          <w:emboss w:val="off"/>
          <w:imprint w:val="off"/>
          <w:color w:val="auto"/>
          <w:spacing w:val="0"/>
          <w:sz w:val="28"/>
          <w:szCs w:val="28"/>
        </w:rPr>
        <w:t xml:space="preserve"> </w:t>
      </w:r>
      <w:r>
        <w:rPr>
          <w:rFonts w:ascii="Times New Roman" w:cs="Times New Roman" w:hAnsi="Times New Roman"/>
          <w:outline w:val="off"/>
          <w:shadow w:val="off"/>
          <w:emboss w:val="off"/>
          <w:imprint w:val="off"/>
          <w:color w:val="auto"/>
          <w:spacing w:val="0"/>
          <w:sz w:val="28"/>
          <w:szCs w:val="28"/>
        </w:rPr>
        <w:t>— Текст : электронный. — URL:</w:t>
      </w:r>
      <w:r>
        <w:rPr>
          <w:rStyle w:val="Hyperlink"/>
          <w:rFonts w:ascii="Times New Roman" w:cs="Times New Roman" w:hAnsi="Times New Roman"/>
          <w:outline w:val="off"/>
          <w:shadow w:val="off"/>
          <w:emboss w:val="off"/>
          <w:imprint w:val="off"/>
          <w:spacing w:val="0"/>
          <w:sz w:val="28"/>
          <w:szCs w:val="28"/>
        </w:rPr>
        <w:fldChar w:fldCharType="begin"/>
      </w:r>
      <w:r>
        <w:rPr>
          <w:rStyle w:val="Hyperlink"/>
          <w:rFonts w:ascii="Times New Roman" w:cs="Times New Roman" w:hAnsi="Times New Roman"/>
          <w:outline w:val="off"/>
          <w:shadow w:val="off"/>
          <w:emboss w:val="off"/>
          <w:imprint w:val="off"/>
          <w:spacing w:val="0"/>
          <w:sz w:val="28"/>
          <w:szCs w:val="28"/>
        </w:rPr>
        <w:instrText xml:space="preserve">HYPERLINK "https://www.ra-national.ru/wp-content/uploads/2025/09/nra_stroitelnaja_otrasl_o"</w:instrText>
      </w:r>
      <w:r>
        <w:rPr>
          <w:rStyle w:val="Hyperlink"/>
          <w:rFonts w:ascii="Times New Roman" w:cs="Times New Roman" w:hAnsi="Times New Roman"/>
          <w:outline w:val="off"/>
          <w:shadow w:val="off"/>
          <w:emboss w:val="off"/>
          <w:imprint w:val="off"/>
          <w:spacing w:val="0"/>
          <w:sz w:val="28"/>
          <w:szCs w:val="28"/>
        </w:rPr>
        <w:fldChar w:fldCharType="separate"/>
      </w:r>
      <w:r>
        <w:rPr>
          <w:rStyle w:val="Hyperlink"/>
          <w:rFonts w:ascii="Times New Roman" w:cs="Times New Roman" w:hAnsi="Times New Roman"/>
          <w:outline w:val="off"/>
          <w:shadow w:val="off"/>
          <w:emboss w:val="off"/>
          <w:imprint w:val="off"/>
          <w:spacing w:val="0"/>
          <w:sz w:val="28"/>
          <w:szCs w:val="28"/>
        </w:rPr>
        <w:t>https://www.ra-national.ru/wp-content/uploads/2025/09/nra_stroitelnaja_otrasl_o</w:t>
      </w:r>
      <w:r>
        <w:rPr>
          <w:rFonts w:ascii="Times New Roman" w:cs="Times New Roman" w:hAnsi="Times New Roman"/>
          <w:outline w:val="off"/>
          <w:shadow w:val="off"/>
          <w:emboss w:val="off"/>
          <w:imprint w:val="off"/>
          <w:color w:val="auto"/>
          <w:spacing w:val="0"/>
          <w:sz w:val="28"/>
          <w:szCs w:val="28"/>
        </w:rPr>
        <w:fldChar w:fldCharType="end"/>
      </w:r>
      <w:r>
        <w:rPr>
          <w:rFonts w:ascii="Times New Roman" w:cs="Times New Roman" w:hAnsi="Times New Roman"/>
          <w:outline w:val="off"/>
          <w:shadow w:val="off"/>
          <w:emboss w:val="off"/>
          <w:imprint w:val="off"/>
          <w:color w:val="auto"/>
          <w:spacing w:val="0"/>
          <w:sz w:val="28"/>
          <w:szCs w:val="28"/>
        </w:rPr>
        <w:t xml:space="preserve">bzor_sentjabr_2025_verst.pdf?utm_source=chatgpt.com </w:t>
      </w:r>
      <w:r>
        <w:rPr>
          <w:rFonts w:ascii="Times New Roman" w:cs="Times New Roman" w:hAnsi="Times New Roman"/>
          <w:outline w:val="off"/>
          <w:shadow w:val="off"/>
          <w:emboss w:val="off"/>
          <w:imprint w:val="off"/>
          <w:color w:val="auto"/>
          <w:spacing w:val="0"/>
          <w:sz w:val="28"/>
          <w:szCs w:val="28"/>
        </w:rPr>
        <w:t>(дата обращения: 10.06.2026).</w:t>
      </w:r>
    </w:p>
    <w:p w14:paraId="000006E9">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Style w:val="Hyperlink"/>
          <w:rFonts w:ascii="Times New Roman" w:cs="Times New Roman" w:hAnsi="Times New Roman"/>
          <w:outline w:val="off"/>
          <w:shadow w:val="off"/>
          <w:emboss w:val="off"/>
          <w:imprint w:val="off"/>
          <w:spacing w:val="0"/>
          <w:sz w:val="28"/>
          <w:szCs w:val="28"/>
        </w:rPr>
      </w:pPr>
      <w:r>
        <w:rPr>
          <w:rFonts w:ascii="Times New Roman" w:cs="Times New Roman" w:hAnsi="Times New Roman"/>
          <w:outline w:val="off"/>
          <w:shadow w:val="off"/>
          <w:emboss w:val="off"/>
          <w:imprint w:val="off"/>
          <w:color w:val="auto"/>
          <w:spacing w:val="0"/>
          <w:sz w:val="28"/>
          <w:szCs w:val="28"/>
        </w:rPr>
        <w:t>58. Обзор рынка гиперпрессованного кирпича в Приволжском федеральном округе / Аналитическое агентство «СтройИнфо». — Казань, 2025.</w:t>
      </w:r>
      <w:r>
        <w:rPr>
          <w:rFonts w:ascii="Times New Roman" w:cs="Times New Roman" w:hAnsi="Times New Roman"/>
          <w:outline w:val="off"/>
          <w:shadow w:val="off"/>
          <w:emboss w:val="off"/>
          <w:imprint w:val="off"/>
          <w:color w:val="auto"/>
          <w:spacing w:val="0"/>
          <w:sz w:val="28"/>
          <w:szCs w:val="28"/>
        </w:rPr>
        <w:t xml:space="preserve"> </w:t>
      </w:r>
      <w:r>
        <w:rPr>
          <w:rFonts w:ascii="Times New Roman" w:cs="Times New Roman" w:hAnsi="Times New Roman"/>
          <w:outline w:val="off"/>
          <w:shadow w:val="off"/>
          <w:emboss w:val="off"/>
          <w:imprint w:val="off"/>
          <w:color w:val="auto"/>
          <w:spacing w:val="0"/>
          <w:sz w:val="28"/>
          <w:szCs w:val="28"/>
        </w:rPr>
        <w:t xml:space="preserve">— Текст : электронный. — URL: </w:t>
      </w:r>
      <w:r>
        <w:rPr>
          <w:rStyle w:val="Hyperlink"/>
          <w:rFonts w:ascii="Times New Roman" w:cs="Times New Roman" w:hAnsi="Times New Roman"/>
          <w:outline w:val="off"/>
          <w:shadow w:val="off"/>
          <w:emboss w:val="off"/>
          <w:imprint w:val="off"/>
          <w:spacing w:val="0"/>
          <w:sz w:val="28"/>
          <w:szCs w:val="28"/>
        </w:rPr>
        <w:fldChar w:fldCharType="begin"/>
      </w:r>
      <w:r>
        <w:rPr>
          <w:rStyle w:val="Hyperlink"/>
          <w:rFonts w:ascii="Times New Roman" w:cs="Times New Roman" w:hAnsi="Times New Roman"/>
          <w:outline w:val="off"/>
          <w:shadow w:val="off"/>
          <w:emboss w:val="off"/>
          <w:imprint w:val="off"/>
          <w:spacing w:val="0"/>
          <w:sz w:val="28"/>
          <w:szCs w:val="28"/>
        </w:rPr>
        <w:instrText xml:space="preserve">HYPERLINK "https://cmpro.ru/rus/catalog/analitika/stenovie_"</w:instrText>
      </w:r>
      <w:r>
        <w:rPr>
          <w:rStyle w:val="Hyperlink"/>
          <w:rFonts w:ascii="Times New Roman" w:cs="Times New Roman" w:hAnsi="Times New Roman"/>
          <w:outline w:val="off"/>
          <w:shadow w:val="off"/>
          <w:emboss w:val="off"/>
          <w:imprint w:val="off"/>
          <w:spacing w:val="0"/>
          <w:sz w:val="28"/>
          <w:szCs w:val="28"/>
        </w:rPr>
        <w:fldChar w:fldCharType="separate"/>
      </w:r>
      <w:r>
        <w:rPr>
          <w:rStyle w:val="Hyperlink"/>
          <w:rFonts w:ascii="Times New Roman" w:cs="Times New Roman" w:hAnsi="Times New Roman"/>
          <w:outline w:val="off"/>
          <w:shadow w:val="off"/>
          <w:emboss w:val="off"/>
          <w:imprint w:val="off"/>
          <w:spacing w:val="0"/>
          <w:sz w:val="28"/>
          <w:szCs w:val="28"/>
        </w:rPr>
        <w:t>https://cmpro.ru/rus/catalog/analitika/s</w:t>
      </w:r>
      <w:r>
        <w:rPr>
          <w:rStyle w:val="Hyperlink"/>
          <w:rFonts w:ascii="Times New Roman" w:cs="Times New Roman" w:hAnsi="Times New Roman"/>
          <w:outline w:val="off"/>
          <w:shadow w:val="off"/>
          <w:emboss w:val="off"/>
          <w:imprint w:val="off"/>
          <w:spacing w:val="0"/>
          <w:sz w:val="28"/>
          <w:szCs w:val="28"/>
        </w:rPr>
        <w:t>te</w:t>
      </w:r>
    </w:p>
    <w:p w14:paraId="000006EA">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right="0"/>
        <w:jc w:val="both"/>
        <w:rPr>
          <w:rFonts w:ascii="Times New Roman" w:cs="Times New Roman" w:hAnsi="Times New Roman"/>
          <w:outline w:val="off"/>
          <w:shadow w:val="off"/>
          <w:emboss w:val="off"/>
          <w:imprint w:val="off"/>
          <w:color w:val="auto"/>
          <w:spacing w:val="0"/>
          <w:sz w:val="28"/>
          <w:szCs w:val="28"/>
        </w:rPr>
      </w:pPr>
      <w:r>
        <w:rPr>
          <w:rStyle w:val="Hyperlink"/>
          <w:rFonts w:ascii="Times New Roman" w:cs="Times New Roman" w:hAnsi="Times New Roman"/>
          <w:outline w:val="off"/>
          <w:shadow w:val="off"/>
          <w:emboss w:val="off"/>
          <w:imprint w:val="off"/>
          <w:spacing w:val="0"/>
          <w:sz w:val="28"/>
          <w:szCs w:val="28"/>
        </w:rPr>
        <w:t>n</w:t>
      </w:r>
      <w:r>
        <w:rPr>
          <w:rStyle w:val="Hyperlink"/>
          <w:rFonts w:ascii="Times New Roman" w:cs="Times New Roman" w:hAnsi="Times New Roman"/>
          <w:outline w:val="off"/>
          <w:shadow w:val="off"/>
          <w:emboss w:val="off"/>
          <w:imprint w:val="off"/>
          <w:spacing w:val="0"/>
          <w:sz w:val="28"/>
          <w:szCs w:val="28"/>
        </w:rPr>
        <w:t>ovie_</w:t>
      </w:r>
      <w:r>
        <w:rPr>
          <w:rFonts w:ascii="Times New Roman" w:cs="Times New Roman" w:hAnsi="Times New Roman"/>
          <w:outline w:val="off"/>
          <w:shadow w:val="off"/>
          <w:emboss w:val="off"/>
          <w:imprint w:val="off"/>
          <w:color w:val="auto"/>
          <w:spacing w:val="0"/>
          <w:sz w:val="28"/>
          <w:szCs w:val="28"/>
        </w:rPr>
        <w:fldChar w:fldCharType="end"/>
      </w:r>
      <w:r>
        <w:rPr>
          <w:rFonts w:ascii="Times New Roman" w:cs="Times New Roman" w:hAnsi="Times New Roman"/>
          <w:outline w:val="off"/>
          <w:shadow w:val="off"/>
          <w:emboss w:val="off"/>
          <w:imprint w:val="off"/>
          <w:color w:val="auto"/>
          <w:spacing w:val="0"/>
          <w:sz w:val="28"/>
          <w:szCs w:val="28"/>
        </w:rPr>
        <w:t xml:space="preserve">materiali/pro-rinok.-analiz-rinka-kirpicha-v-rossii.-oktyabr_-2024.html?utm_source=chatgpt.com </w:t>
      </w:r>
      <w:r>
        <w:rPr>
          <w:rFonts w:ascii="Times New Roman" w:cs="Times New Roman" w:hAnsi="Times New Roman"/>
          <w:outline w:val="off"/>
          <w:shadow w:val="off"/>
          <w:emboss w:val="off"/>
          <w:imprint w:val="off"/>
          <w:color w:val="auto"/>
          <w:spacing w:val="0"/>
          <w:sz w:val="28"/>
          <w:szCs w:val="28"/>
        </w:rPr>
        <w:t>(дата обращения: 10.06.2026).</w:t>
      </w:r>
    </w:p>
    <w:p w14:paraId="000006EB">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220"/>
          <w:tab w:val="left" w:pos="720"/>
        </w:tabs>
        <w:spacing w:before="0" w:beforeAutospacing="0" w:after="0" w:afterAutospacing="0" w:line="360" w:lineRule="auto"/>
        <w:ind w:left="0" w:right="0" w:firstLine="288"/>
        <w:jc w:val="both"/>
        <w:rPr>
          <w:rFonts w:ascii="Times New Roman" w:cs="Times New Roman" w:hAnsi="Times New Roman"/>
          <w:outline w:val="off"/>
          <w:shadow w:val="off"/>
          <w:emboss w:val="off"/>
          <w:imprint w:val="off"/>
          <w:color w:val="auto"/>
          <w:spacing w:val="0"/>
          <w:sz w:val="28"/>
          <w:szCs w:val="28"/>
        </w:rPr>
      </w:pPr>
      <w:r>
        <w:rPr>
          <w:rFonts w:ascii="Times New Roman" w:cs="Times New Roman" w:hAnsi="Times New Roman"/>
          <w:outline w:val="off"/>
          <w:shadow w:val="off"/>
          <w:emboss w:val="off"/>
          <w:imprint w:val="off"/>
          <w:color w:val="auto"/>
          <w:spacing w:val="0"/>
          <w:sz w:val="28"/>
          <w:szCs w:val="28"/>
        </w:rPr>
        <w:t>59. Пензенская область 2024 в цифрах : статистический сборник. — Пенза : Пензастат, 2025. — Текст : электронный // Территориальный орган Федеральной службы государственной статистики по Пензенской области. — URL:https://58.rosstat.gov.ru/storage/mediabank/ПЕНЗЕНСКАЯ%20ОБЛАСТЬ%202024%20в%20цифрах%20%28официальное%20издание%29.pdf (дата обращения: 15.06.2026).</w:t>
      </w:r>
    </w:p>
    <w:p w14:paraId="000006EC">
      <w:pPr>
        <w:spacing w:beforeAutospacing="0" w:after="0" w:afterAutospacing="0" w:line="360"/>
        <w:ind w:firstLine="288"/>
        <w:jc w:val="both"/>
        <w:rPr>
          <w:rFonts w:ascii="Times New Roman" w:cs="Times New Roman" w:hAnsi="Times New Roman"/>
          <w:sz w:val="28"/>
          <w:szCs w:val="28"/>
        </w:rPr>
      </w:pPr>
    </w:p>
    <w:p w14:paraId="000006ED">
      <w:pPr>
        <w:spacing w:beforeAutospacing="0" w:after="0" w:afterAutospacing="0" w:line="360"/>
        <w:ind w:firstLine="288"/>
        <w:jc w:val="both"/>
        <w:rPr>
          <w:rFonts w:ascii="Times New Roman" w:cs="Times New Roman" w:hAnsi="Times New Roman"/>
          <w:sz w:val="28"/>
          <w:szCs w:val="28"/>
        </w:rPr>
      </w:pPr>
    </w:p>
    <w:p w14:paraId="000006EE">
      <w:pPr>
        <w:spacing w:beforeAutospacing="0" w:after="0" w:afterAutospacing="0" w:line="360"/>
        <w:ind w:firstLine="288"/>
        <w:jc w:val="both"/>
        <w:rPr>
          <w:rFonts w:ascii="Times New Roman" w:cs="Times New Roman" w:hAnsi="Times New Roman"/>
          <w:sz w:val="28"/>
          <w:szCs w:val="28"/>
        </w:rPr>
      </w:pPr>
    </w:p>
    <w:p w14:paraId="000006EF">
      <w:pPr>
        <w:spacing w:beforeAutospacing="0" w:after="0" w:afterAutospacing="0" w:line="360"/>
        <w:ind w:firstLine="288"/>
        <w:jc w:val="both"/>
        <w:rPr>
          <w:rFonts w:ascii="Times New Roman" w:cs="Times New Roman" w:hAnsi="Times New Roman"/>
          <w:sz w:val="28"/>
          <w:szCs w:val="28"/>
        </w:rPr>
      </w:pPr>
    </w:p>
    <w:p w14:paraId="000006F0"/>
    <w:p w14:paraId="000006F1"/>
    <w:p w14:paraId="000006F2"/>
    <w:p w14:paraId="000006F3"/>
    <w:p w14:paraId="000006F4"/>
    <w:p w14:paraId="000006F5"/>
    <w:p w14:paraId="000006F6"/>
    <w:p w14:paraId="000006F7"/>
    <w:p w14:paraId="000006F8"/>
    <w:p w14:paraId="000006F9"/>
    <w:p w14:paraId="000006FA"/>
    <w:p w14:paraId="000006FB"/>
    <w:p w14:paraId="000006FC">
      <w:pPr>
        <w:pStyle w:val="Heading1"/>
        <w:spacing w:before="0" w:beforeAutospacing="0" w:afterAutospacing="0" w:line="360" w:lineRule="auto"/>
        <w:jc w:val="center"/>
        <w:rPr>
          <w:rFonts w:ascii="Times New Roman" w:cs="Times New Roman" w:hAnsi="Times New Roman"/>
          <w:b/>
          <w:bCs/>
          <w:color w:val="auto"/>
          <w:sz w:val="96"/>
          <w:szCs w:val="96"/>
        </w:rPr>
      </w:pPr>
      <w:r>
        <w:rPr>
          <w:rFonts w:ascii="Times New Roman" w:cs="Times New Roman" w:hAnsi="Times New Roman"/>
          <w:b/>
          <w:bCs/>
          <w:color w:val="auto"/>
          <w:sz w:val="96"/>
          <w:szCs w:val="96"/>
        </w:rPr>
        <w:t>ПРИЛОЖЕНИЯ</w:t>
      </w:r>
    </w:p>
    <w:p w14:paraId="000006FD"/>
    <w:p w14:paraId="000006FE"/>
    <w:p w14:paraId="000006FF"/>
    <w:p w14:paraId="00000700"/>
    <w:p w14:paraId="00000701"/>
    <w:p w14:paraId="00000702"/>
    <w:p w14:paraId="00000703"/>
    <w:p w14:paraId="00000704"/>
    <w:p w14:paraId="00000705"/>
    <w:p w14:paraId="00000706">
      <w:pPr>
        <w:spacing w:beforeAutospacing="0" w:after="0" w:afterAutospacing="0" w:line="360" w:lineRule="auto"/>
        <w:jc w:val="center"/>
        <w:rPr>
          <w:rFonts w:ascii="Times New Roman" w:cs="Times New Roman" w:hAnsi="Times New Roman"/>
          <w:b/>
          <w:bCs/>
          <w:sz w:val="28"/>
          <w:szCs w:val="28"/>
        </w:rPr>
      </w:pPr>
    </w:p>
    <w:p w14:paraId="00000707">
      <w:pPr>
        <w:spacing w:beforeAutospacing="0" w:after="0" w:afterAutospacing="0" w:line="360" w:lineRule="auto"/>
        <w:jc w:val="center"/>
        <w:rPr>
          <w:rFonts w:ascii="Times New Roman" w:cs="Times New Roman" w:hAnsi="Times New Roman"/>
          <w:b/>
          <w:bCs/>
          <w:sz w:val="28"/>
          <w:szCs w:val="28"/>
        </w:rPr>
      </w:pPr>
    </w:p>
    <w:p w14:paraId="00000708">
      <w:pPr>
        <w:spacing w:beforeAutospacing="0" w:after="0" w:afterAutospacing="0" w:line="360" w:lineRule="auto"/>
        <w:jc w:val="center"/>
        <w:rPr>
          <w:rFonts w:ascii="Times New Roman" w:cs="Times New Roman" w:hAnsi="Times New Roman"/>
          <w:b/>
          <w:bCs/>
          <w:sz w:val="28"/>
          <w:szCs w:val="28"/>
        </w:rPr>
      </w:pPr>
    </w:p>
    <w:p w14:paraId="00000709">
      <w:pPr>
        <w:spacing w:beforeAutospacing="0" w:after="0" w:afterAutospacing="0" w:line="360" w:lineRule="auto"/>
        <w:jc w:val="center"/>
        <w:rPr>
          <w:rFonts w:ascii="Times New Roman" w:cs="Times New Roman" w:hAnsi="Times New Roman"/>
          <w:b/>
          <w:bCs/>
          <w:sz w:val="28"/>
          <w:szCs w:val="28"/>
        </w:rPr>
      </w:pPr>
    </w:p>
    <w:p w14:paraId="0000070A">
      <w:pPr>
        <w:spacing w:beforeAutospacing="0" w:after="0" w:afterAutospacing="0" w:line="360" w:lineRule="auto"/>
        <w:jc w:val="center"/>
        <w:rPr>
          <w:rFonts w:ascii="Times New Roman" w:cs="Times New Roman" w:hAnsi="Times New Roman"/>
          <w:b/>
          <w:bCs/>
          <w:sz w:val="28"/>
          <w:szCs w:val="28"/>
        </w:rPr>
      </w:pPr>
    </w:p>
    <w:p w14:paraId="0000070B">
      <w:pPr>
        <w:spacing w:beforeAutospacing="0" w:after="0" w:afterAutospacing="0" w:line="360" w:lineRule="auto"/>
        <w:jc w:val="center"/>
        <w:rPr>
          <w:rFonts w:ascii="Times New Roman" w:cs="Times New Roman" w:hAnsi="Times New Roman"/>
          <w:b/>
          <w:bCs/>
          <w:sz w:val="28"/>
          <w:szCs w:val="28"/>
        </w:rPr>
      </w:pPr>
      <w:r>
        <w:rPr>
          <w:rFonts w:ascii="Times New Roman" w:cs="Times New Roman" w:hAnsi="Times New Roman"/>
          <w:b/>
          <w:bCs/>
          <w:sz w:val="28"/>
          <w:szCs w:val="28"/>
        </w:rPr>
        <w:t>Приложение А</w:t>
      </w:r>
    </w:p>
    <w:p w14:paraId="0000070C">
      <w:pPr>
        <w:spacing w:beforeAutospacing="0" w:after="0" w:afterAutospacing="0" w:line="360" w:lineRule="auto"/>
        <w:jc w:val="center"/>
        <w:rPr>
          <w:rFonts w:ascii="Times New Roman" w:cs="Times New Roman" w:hAnsi="Times New Roman"/>
          <w:b/>
          <w:bCs/>
          <w:sz w:val="28"/>
          <w:szCs w:val="28"/>
        </w:rPr>
      </w:pPr>
      <w:r>
        <w:rPr>
          <w:rFonts w:ascii="Times New Roman" w:cs="Times New Roman" w:hAnsi="Times New Roman"/>
          <w:b/>
          <w:bCs/>
          <w:sz w:val="28"/>
          <w:szCs w:val="28"/>
        </w:rPr>
        <w:t>Технические характеристики гидравлического пресса «Монолит-10»</w:t>
      </w:r>
    </w:p>
    <w:p w14:paraId="0000070D">
      <w:pPr>
        <w:spacing w:beforeAutospacing="0" w:after="0" w:afterAutospacing="0" w:line="360" w:lineRule="auto"/>
        <w:jc w:val="center"/>
        <w:rPr>
          <w:rFonts w:ascii="Times New Roman" w:cs="Times New Roman" w:hAnsi="Times New Roman"/>
          <w:sz w:val="28"/>
          <w:szCs w:val="28"/>
        </w:rPr>
      </w:pPr>
    </w:p>
    <w:tbl>
      <w:tblPr>
        <w:tblStyle w:val="TableGrid"/>
        <w:tblW w:w="9498" w:type="dxa"/>
        <w:tblInd w:w="-5" w:type="dxa"/>
        <w:tblLook w:val="0480"/>
      </w:tblPr>
      <w:tblGrid>
        <w:gridCol w:w="6041"/>
        <w:gridCol w:w="3457"/>
      </w:tblGrid>
      <w:tr>
        <w:trPr/>
        <w:tc>
          <w:tcPr>
            <w:cnfStyle w:val="001000100000"/>
            <w:tcW w:w="6041" w:type="dxa"/>
          </w:tcPr>
          <w:p w14:paraId="0000070E">
            <w:pPr>
              <w:jc w:val="center"/>
              <w:rPr>
                <w:rFonts w:ascii="Times New Roman" w:cs="Times New Roman" w:hAnsi="Times New Roman"/>
                <w:sz w:val="28"/>
                <w:szCs w:val="28"/>
              </w:rPr>
            </w:pPr>
            <w:r>
              <w:rPr>
                <w:rFonts w:ascii="Times New Roman" w:cs="Times New Roman" w:hAnsi="Times New Roman"/>
                <w:sz w:val="28"/>
                <w:szCs w:val="28"/>
              </w:rPr>
              <w:t>Параметр</w:t>
            </w:r>
          </w:p>
        </w:tc>
        <w:tc>
          <w:tcPr>
            <w:cnfStyle w:val="000000100000"/>
            <w:tcW w:w="3457" w:type="dxa"/>
          </w:tcPr>
          <w:p w14:paraId="0000070F">
            <w:pPr>
              <w:jc w:val="center"/>
              <w:rPr>
                <w:rFonts w:ascii="Times New Roman" w:cs="Times New Roman" w:hAnsi="Times New Roman"/>
                <w:sz w:val="28"/>
                <w:szCs w:val="28"/>
              </w:rPr>
            </w:pPr>
            <w:r>
              <w:rPr>
                <w:rFonts w:ascii="Times New Roman" w:cs="Times New Roman" w:hAnsi="Times New Roman"/>
                <w:sz w:val="28"/>
                <w:szCs w:val="28"/>
              </w:rPr>
              <w:t>Значение</w:t>
            </w:r>
          </w:p>
        </w:tc>
      </w:tr>
      <w:tr>
        <w:trPr/>
        <w:tc>
          <w:tcPr>
            <w:cnfStyle w:val="001000010000"/>
            <w:tcW w:w="6041" w:type="dxa"/>
          </w:tcPr>
          <w:p w14:paraId="00000710">
            <w:pPr>
              <w:jc w:val="both"/>
              <w:rPr>
                <w:rFonts w:ascii="Times New Roman" w:cs="Times New Roman" w:hAnsi="Times New Roman"/>
                <w:sz w:val="28"/>
                <w:szCs w:val="28"/>
              </w:rPr>
            </w:pPr>
            <w:r>
              <w:rPr>
                <w:rFonts w:ascii="Times New Roman" w:cs="Times New Roman" w:hAnsi="Times New Roman"/>
                <w:sz w:val="28"/>
                <w:szCs w:val="28"/>
              </w:rPr>
              <w:t>Производительность, шт./смену</w:t>
            </w:r>
          </w:p>
        </w:tc>
        <w:tc>
          <w:tcPr>
            <w:cnfStyle w:val="000000010000"/>
            <w:tcW w:w="3457" w:type="dxa"/>
          </w:tcPr>
          <w:p w14:paraId="00000711">
            <w:pPr>
              <w:jc w:val="center"/>
              <w:rPr>
                <w:rFonts w:ascii="Times New Roman" w:cs="Times New Roman" w:hAnsi="Times New Roman"/>
                <w:sz w:val="28"/>
                <w:szCs w:val="28"/>
              </w:rPr>
            </w:pPr>
            <w:r>
              <w:rPr>
                <w:rFonts w:ascii="Times New Roman" w:cs="Times New Roman" w:hAnsi="Times New Roman"/>
                <w:sz w:val="28"/>
                <w:szCs w:val="28"/>
              </w:rPr>
              <w:t>до 10 000</w:t>
            </w:r>
          </w:p>
        </w:tc>
      </w:tr>
      <w:tr>
        <w:trPr/>
        <w:tc>
          <w:tcPr>
            <w:cnfStyle w:val="001000100000"/>
            <w:tcW w:w="6041" w:type="dxa"/>
          </w:tcPr>
          <w:p w14:paraId="00000712">
            <w:pPr>
              <w:jc w:val="both"/>
              <w:rPr>
                <w:rFonts w:ascii="Times New Roman" w:cs="Times New Roman" w:hAnsi="Times New Roman"/>
                <w:sz w:val="28"/>
                <w:szCs w:val="28"/>
              </w:rPr>
            </w:pPr>
            <w:r>
              <w:rPr>
                <w:rFonts w:ascii="Times New Roman" w:cs="Times New Roman" w:hAnsi="Times New Roman"/>
                <w:sz w:val="28"/>
                <w:szCs w:val="28"/>
              </w:rPr>
              <w:t>Усилие прессования, т</w:t>
            </w:r>
          </w:p>
        </w:tc>
        <w:tc>
          <w:tcPr>
            <w:cnfStyle w:val="000000100000"/>
            <w:tcW w:w="3457" w:type="dxa"/>
          </w:tcPr>
          <w:p w14:paraId="00000713">
            <w:pPr>
              <w:jc w:val="center"/>
              <w:rPr>
                <w:rFonts w:ascii="Times New Roman" w:cs="Times New Roman" w:hAnsi="Times New Roman"/>
                <w:sz w:val="28"/>
                <w:szCs w:val="28"/>
              </w:rPr>
            </w:pPr>
            <w:r>
              <w:rPr>
                <w:rFonts w:ascii="Times New Roman" w:cs="Times New Roman" w:hAnsi="Times New Roman"/>
                <w:sz w:val="28"/>
                <w:szCs w:val="28"/>
              </w:rPr>
              <w:t>250</w:t>
            </w:r>
          </w:p>
        </w:tc>
      </w:tr>
      <w:tr>
        <w:trPr/>
        <w:tc>
          <w:tcPr>
            <w:cnfStyle w:val="001000010000"/>
            <w:tcW w:w="6041" w:type="dxa"/>
          </w:tcPr>
          <w:p w14:paraId="00000714">
            <w:pPr>
              <w:jc w:val="both"/>
              <w:rPr>
                <w:rFonts w:ascii="Times New Roman" w:cs="Times New Roman" w:hAnsi="Times New Roman"/>
                <w:sz w:val="28"/>
                <w:szCs w:val="28"/>
              </w:rPr>
            </w:pPr>
            <w:r>
              <w:rPr>
                <w:rFonts w:ascii="Times New Roman" w:cs="Times New Roman" w:hAnsi="Times New Roman"/>
                <w:sz w:val="28"/>
                <w:szCs w:val="28"/>
              </w:rPr>
              <w:t>Рабочее давление в гидросистеме, МПа</w:t>
            </w:r>
          </w:p>
        </w:tc>
        <w:tc>
          <w:tcPr>
            <w:cnfStyle w:val="000000010000"/>
            <w:tcW w:w="3457" w:type="dxa"/>
          </w:tcPr>
          <w:p w14:paraId="00000715">
            <w:pPr>
              <w:jc w:val="center"/>
              <w:rPr>
                <w:rFonts w:ascii="Times New Roman" w:cs="Times New Roman" w:hAnsi="Times New Roman"/>
                <w:sz w:val="28"/>
                <w:szCs w:val="28"/>
              </w:rPr>
            </w:pPr>
            <w:r>
              <w:rPr>
                <w:rFonts w:ascii="Times New Roman" w:cs="Times New Roman" w:hAnsi="Times New Roman"/>
                <w:sz w:val="28"/>
                <w:szCs w:val="28"/>
              </w:rPr>
              <w:t>20–25</w:t>
            </w:r>
          </w:p>
        </w:tc>
      </w:tr>
      <w:tr>
        <w:trPr/>
        <w:tc>
          <w:tcPr>
            <w:cnfStyle w:val="001000100000"/>
            <w:tcW w:w="6041" w:type="dxa"/>
          </w:tcPr>
          <w:p w14:paraId="00000716">
            <w:pPr>
              <w:jc w:val="both"/>
              <w:rPr>
                <w:rFonts w:ascii="Times New Roman" w:cs="Times New Roman" w:hAnsi="Times New Roman"/>
                <w:sz w:val="28"/>
                <w:szCs w:val="28"/>
              </w:rPr>
            </w:pPr>
            <w:r>
              <w:rPr>
                <w:rFonts w:ascii="Times New Roman" w:cs="Times New Roman" w:hAnsi="Times New Roman"/>
                <w:sz w:val="28"/>
                <w:szCs w:val="28"/>
              </w:rPr>
              <w:t>Мощность электродвигателя, кВт</w:t>
            </w:r>
          </w:p>
        </w:tc>
        <w:tc>
          <w:tcPr>
            <w:cnfStyle w:val="000000100000"/>
            <w:tcW w:w="3457" w:type="dxa"/>
          </w:tcPr>
          <w:p w14:paraId="00000717">
            <w:pPr>
              <w:jc w:val="center"/>
              <w:rPr>
                <w:rFonts w:ascii="Times New Roman" w:cs="Times New Roman" w:hAnsi="Times New Roman"/>
                <w:sz w:val="28"/>
                <w:szCs w:val="28"/>
              </w:rPr>
            </w:pPr>
            <w:r>
              <w:rPr>
                <w:rFonts w:ascii="Times New Roman" w:cs="Times New Roman" w:hAnsi="Times New Roman"/>
                <w:sz w:val="28"/>
                <w:szCs w:val="28"/>
              </w:rPr>
              <w:t>45</w:t>
            </w:r>
          </w:p>
        </w:tc>
      </w:tr>
      <w:tr>
        <w:trPr/>
        <w:tc>
          <w:tcPr>
            <w:cnfStyle w:val="001000010000"/>
            <w:tcW w:w="6041" w:type="dxa"/>
          </w:tcPr>
          <w:p w14:paraId="00000718">
            <w:pPr>
              <w:jc w:val="both"/>
              <w:rPr>
                <w:rFonts w:ascii="Times New Roman" w:cs="Times New Roman" w:hAnsi="Times New Roman"/>
                <w:sz w:val="28"/>
                <w:szCs w:val="28"/>
              </w:rPr>
            </w:pPr>
            <w:r>
              <w:rPr>
                <w:rFonts w:ascii="Times New Roman" w:cs="Times New Roman" w:hAnsi="Times New Roman"/>
                <w:sz w:val="28"/>
                <w:szCs w:val="28"/>
              </w:rPr>
              <w:t>Габаритные размеры (Д×Ш×В), м</w:t>
            </w:r>
          </w:p>
        </w:tc>
        <w:tc>
          <w:tcPr>
            <w:cnfStyle w:val="000000010000"/>
            <w:tcW w:w="3457" w:type="dxa"/>
          </w:tcPr>
          <w:p w14:paraId="00000719">
            <w:pPr>
              <w:jc w:val="center"/>
              <w:rPr>
                <w:rFonts w:ascii="Times New Roman" w:cs="Times New Roman" w:hAnsi="Times New Roman"/>
                <w:sz w:val="28"/>
                <w:szCs w:val="28"/>
              </w:rPr>
            </w:pPr>
            <w:r>
              <w:rPr>
                <w:rFonts w:ascii="Times New Roman" w:cs="Times New Roman" w:hAnsi="Times New Roman"/>
                <w:sz w:val="28"/>
                <w:szCs w:val="28"/>
              </w:rPr>
              <w:t>3,5×2,2×2,8</w:t>
            </w:r>
          </w:p>
        </w:tc>
      </w:tr>
      <w:tr>
        <w:trPr/>
        <w:tc>
          <w:tcPr>
            <w:cnfStyle w:val="001000100000"/>
            <w:tcW w:w="6041" w:type="dxa"/>
          </w:tcPr>
          <w:p w14:paraId="0000071A">
            <w:pPr>
              <w:jc w:val="both"/>
              <w:rPr>
                <w:rFonts w:ascii="Times New Roman" w:cs="Times New Roman" w:hAnsi="Times New Roman"/>
                <w:sz w:val="28"/>
                <w:szCs w:val="28"/>
              </w:rPr>
            </w:pPr>
            <w:r>
              <w:rPr>
                <w:rFonts w:ascii="Times New Roman" w:cs="Times New Roman" w:hAnsi="Times New Roman"/>
                <w:sz w:val="28"/>
                <w:szCs w:val="28"/>
              </w:rPr>
              <w:t>Масса, т</w:t>
            </w:r>
          </w:p>
        </w:tc>
        <w:tc>
          <w:tcPr>
            <w:cnfStyle w:val="000000100000"/>
            <w:tcW w:w="3457" w:type="dxa"/>
          </w:tcPr>
          <w:p w14:paraId="0000071B">
            <w:pPr>
              <w:jc w:val="center"/>
              <w:rPr>
                <w:rFonts w:ascii="Times New Roman" w:cs="Times New Roman" w:hAnsi="Times New Roman"/>
                <w:sz w:val="28"/>
                <w:szCs w:val="28"/>
              </w:rPr>
            </w:pPr>
            <w:r>
              <w:rPr>
                <w:rFonts w:ascii="Times New Roman" w:cs="Times New Roman" w:hAnsi="Times New Roman"/>
                <w:sz w:val="28"/>
                <w:szCs w:val="28"/>
              </w:rPr>
              <w:t>12,5</w:t>
            </w:r>
          </w:p>
        </w:tc>
      </w:tr>
      <w:tr>
        <w:trPr/>
        <w:tc>
          <w:tcPr>
            <w:cnfStyle w:val="001000010000"/>
            <w:tcW w:w="6041" w:type="dxa"/>
          </w:tcPr>
          <w:p w14:paraId="0000071C">
            <w:pPr>
              <w:jc w:val="both"/>
              <w:rPr>
                <w:rFonts w:ascii="Times New Roman" w:cs="Times New Roman" w:hAnsi="Times New Roman"/>
                <w:sz w:val="28"/>
                <w:szCs w:val="28"/>
              </w:rPr>
            </w:pPr>
            <w:r>
              <w:rPr>
                <w:rFonts w:ascii="Times New Roman" w:cs="Times New Roman" w:hAnsi="Times New Roman"/>
                <w:sz w:val="28"/>
                <w:szCs w:val="28"/>
              </w:rPr>
              <w:t>Количество одновременно формуемых кирпичей, шт.</w:t>
            </w:r>
          </w:p>
        </w:tc>
        <w:tc>
          <w:tcPr>
            <w:cnfStyle w:val="000000010000"/>
            <w:tcW w:w="3457" w:type="dxa"/>
          </w:tcPr>
          <w:p w14:paraId="0000071D">
            <w:pPr>
              <w:jc w:val="center"/>
              <w:rPr>
                <w:rFonts w:ascii="Times New Roman" w:cs="Times New Roman" w:hAnsi="Times New Roman"/>
                <w:sz w:val="28"/>
                <w:szCs w:val="28"/>
              </w:rPr>
            </w:pPr>
            <w:r>
              <w:rPr>
                <w:rFonts w:ascii="Times New Roman" w:cs="Times New Roman" w:hAnsi="Times New Roman"/>
                <w:sz w:val="28"/>
                <w:szCs w:val="28"/>
              </w:rPr>
              <w:t>4–6</w:t>
            </w:r>
          </w:p>
        </w:tc>
      </w:tr>
      <w:tr>
        <w:trPr/>
        <w:tc>
          <w:tcPr>
            <w:cnfStyle w:val="001000100000"/>
            <w:tcW w:w="6041" w:type="dxa"/>
          </w:tcPr>
          <w:p w14:paraId="0000071E">
            <w:pPr>
              <w:jc w:val="both"/>
              <w:rPr>
                <w:rFonts w:ascii="Times New Roman" w:cs="Times New Roman" w:hAnsi="Times New Roman"/>
                <w:sz w:val="28"/>
                <w:szCs w:val="28"/>
              </w:rPr>
            </w:pPr>
            <w:r>
              <w:rPr>
                <w:rFonts w:ascii="Times New Roman" w:cs="Times New Roman" w:hAnsi="Times New Roman"/>
                <w:sz w:val="28"/>
                <w:szCs w:val="28"/>
              </w:rPr>
              <w:t>Время цикла, сек.</w:t>
            </w:r>
          </w:p>
        </w:tc>
        <w:tc>
          <w:tcPr>
            <w:cnfStyle w:val="000000100000"/>
            <w:tcW w:w="3457" w:type="dxa"/>
          </w:tcPr>
          <w:p w14:paraId="0000071F">
            <w:pPr>
              <w:jc w:val="center"/>
              <w:rPr>
                <w:rFonts w:ascii="Times New Roman" w:cs="Times New Roman" w:hAnsi="Times New Roman"/>
                <w:sz w:val="28"/>
                <w:szCs w:val="28"/>
              </w:rPr>
            </w:pPr>
            <w:r>
              <w:rPr>
                <w:rFonts w:ascii="Times New Roman" w:cs="Times New Roman" w:hAnsi="Times New Roman"/>
                <w:sz w:val="28"/>
                <w:szCs w:val="28"/>
              </w:rPr>
              <w:t>5–10</w:t>
            </w:r>
          </w:p>
        </w:tc>
      </w:tr>
      <w:tr>
        <w:trPr/>
        <w:tc>
          <w:tcPr>
            <w:cnfStyle w:val="001000010000"/>
            <w:tcW w:w="6041" w:type="dxa"/>
          </w:tcPr>
          <w:p w14:paraId="00000720">
            <w:pPr>
              <w:jc w:val="both"/>
              <w:rPr>
                <w:rFonts w:ascii="Times New Roman" w:cs="Times New Roman" w:hAnsi="Times New Roman"/>
                <w:sz w:val="28"/>
                <w:szCs w:val="28"/>
              </w:rPr>
            </w:pPr>
            <w:r>
              <w:rPr>
                <w:rFonts w:ascii="Times New Roman" w:cs="Times New Roman" w:hAnsi="Times New Roman"/>
                <w:sz w:val="28"/>
                <w:szCs w:val="28"/>
              </w:rPr>
              <w:t>Тип управления</w:t>
            </w:r>
          </w:p>
        </w:tc>
        <w:tc>
          <w:tcPr>
            <w:cnfStyle w:val="000000010000"/>
            <w:tcW w:w="3457" w:type="dxa"/>
          </w:tcPr>
          <w:p w14:paraId="00000721">
            <w:pPr>
              <w:jc w:val="center"/>
              <w:rPr>
                <w:rFonts w:ascii="Times New Roman" w:cs="Times New Roman" w:hAnsi="Times New Roman"/>
                <w:sz w:val="28"/>
                <w:szCs w:val="28"/>
              </w:rPr>
            </w:pPr>
            <w:r>
              <w:rPr>
                <w:rFonts w:ascii="Times New Roman" w:cs="Times New Roman" w:hAnsi="Times New Roman"/>
                <w:sz w:val="28"/>
                <w:szCs w:val="28"/>
              </w:rPr>
              <w:t>автоматический (ПЛК)</w:t>
            </w:r>
          </w:p>
        </w:tc>
      </w:tr>
      <w:tr>
        <w:trPr/>
        <w:tc>
          <w:tcPr>
            <w:cnfStyle w:val="001000100000"/>
            <w:tcW w:w="6041" w:type="dxa"/>
          </w:tcPr>
          <w:p w14:paraId="00000722">
            <w:pPr>
              <w:jc w:val="both"/>
              <w:rPr>
                <w:rFonts w:ascii="Times New Roman" w:cs="Times New Roman" w:hAnsi="Times New Roman"/>
                <w:sz w:val="28"/>
                <w:szCs w:val="28"/>
              </w:rPr>
            </w:pPr>
            <w:r>
              <w:rPr>
                <w:rFonts w:ascii="Times New Roman" w:cs="Times New Roman" w:hAnsi="Times New Roman"/>
                <w:sz w:val="28"/>
                <w:szCs w:val="28"/>
              </w:rPr>
              <w:t>Напряжение питания, В</w:t>
            </w:r>
          </w:p>
        </w:tc>
        <w:tc>
          <w:tcPr>
            <w:cnfStyle w:val="000000100000"/>
            <w:tcW w:w="3457" w:type="dxa"/>
          </w:tcPr>
          <w:p w14:paraId="00000723">
            <w:pPr>
              <w:jc w:val="center"/>
              <w:rPr>
                <w:rFonts w:ascii="Times New Roman" w:cs="Times New Roman" w:hAnsi="Times New Roman"/>
                <w:sz w:val="28"/>
                <w:szCs w:val="28"/>
              </w:rPr>
            </w:pPr>
            <w:r>
              <w:rPr>
                <w:rFonts w:ascii="Times New Roman" w:cs="Times New Roman" w:hAnsi="Times New Roman"/>
                <w:sz w:val="28"/>
                <w:szCs w:val="28"/>
              </w:rPr>
              <w:t>380</w:t>
            </w:r>
          </w:p>
        </w:tc>
      </w:tr>
      <w:tr>
        <w:trPr/>
        <w:tc>
          <w:tcPr>
            <w:cnfStyle w:val="001000010000"/>
            <w:tcW w:w="6041" w:type="dxa"/>
          </w:tcPr>
          <w:p w14:paraId="00000724">
            <w:pPr>
              <w:jc w:val="both"/>
              <w:rPr>
                <w:rFonts w:ascii="Times New Roman" w:cs="Times New Roman" w:hAnsi="Times New Roman"/>
                <w:sz w:val="28"/>
                <w:szCs w:val="28"/>
              </w:rPr>
            </w:pPr>
            <w:r>
              <w:rPr>
                <w:rFonts w:ascii="Times New Roman" w:cs="Times New Roman" w:hAnsi="Times New Roman"/>
                <w:sz w:val="28"/>
                <w:szCs w:val="28"/>
              </w:rPr>
              <w:t>Расход гидравлического масла, л</w:t>
            </w:r>
          </w:p>
        </w:tc>
        <w:tc>
          <w:tcPr>
            <w:cnfStyle w:val="000000010000"/>
            <w:tcW w:w="3457" w:type="dxa"/>
          </w:tcPr>
          <w:p w14:paraId="00000725">
            <w:pPr>
              <w:jc w:val="center"/>
              <w:rPr>
                <w:rFonts w:ascii="Times New Roman" w:cs="Times New Roman" w:hAnsi="Times New Roman"/>
                <w:sz w:val="28"/>
                <w:szCs w:val="28"/>
              </w:rPr>
            </w:pPr>
            <w:r>
              <w:rPr>
                <w:rFonts w:ascii="Times New Roman" w:cs="Times New Roman" w:hAnsi="Times New Roman"/>
                <w:sz w:val="28"/>
                <w:szCs w:val="28"/>
              </w:rPr>
              <w:t>300</w:t>
            </w:r>
          </w:p>
        </w:tc>
      </w:tr>
    </w:tbl>
    <w:p w14:paraId="00000726">
      <w:pPr>
        <w:rPr>
          <w:i/>
          <w:iCs/>
        </w:rPr>
      </w:pPr>
    </w:p>
    <w:p w14:paraId="00000727">
      <w:pPr>
        <w:spacing w:beforeAutospacing="0" w:after="0" w:afterAutospacing="0" w:line="360" w:lineRule="auto"/>
        <w:jc w:val="center"/>
        <w:rPr>
          <w:rFonts w:ascii="Times New Roman" w:cs="Times New Roman" w:hAnsi="Times New Roman"/>
          <w:bCs/>
          <w:sz w:val="28"/>
          <w:szCs w:val="28"/>
        </w:rPr>
      </w:pPr>
    </w:p>
    <w:p w14:paraId="00000728">
      <w:pPr>
        <w:spacing w:beforeAutospacing="0" w:after="0" w:afterAutospacing="0" w:line="360" w:lineRule="auto"/>
        <w:jc w:val="center"/>
        <w:rPr>
          <w:rFonts w:ascii="Times New Roman" w:cs="Times New Roman" w:hAnsi="Times New Roman"/>
          <w:bCs/>
          <w:sz w:val="28"/>
          <w:szCs w:val="28"/>
        </w:rPr>
      </w:pPr>
    </w:p>
    <w:p w14:paraId="00000729">
      <w:pPr>
        <w:spacing w:beforeAutospacing="0" w:after="0" w:afterAutospacing="0" w:line="360" w:lineRule="auto"/>
        <w:jc w:val="center"/>
        <w:rPr>
          <w:rFonts w:ascii="Times New Roman" w:cs="Times New Roman" w:hAnsi="Times New Roman"/>
          <w:bCs/>
          <w:sz w:val="28"/>
          <w:szCs w:val="28"/>
        </w:rPr>
      </w:pPr>
    </w:p>
    <w:p w14:paraId="0000072A">
      <w:pPr>
        <w:spacing w:beforeAutospacing="0" w:after="0" w:afterAutospacing="0" w:line="360" w:lineRule="auto"/>
        <w:jc w:val="center"/>
        <w:rPr>
          <w:rFonts w:ascii="Times New Roman" w:cs="Times New Roman" w:hAnsi="Times New Roman"/>
          <w:bCs/>
          <w:sz w:val="28"/>
          <w:szCs w:val="28"/>
        </w:rPr>
      </w:pPr>
    </w:p>
    <w:p w14:paraId="0000072B">
      <w:pPr>
        <w:spacing w:beforeAutospacing="0" w:after="0" w:afterAutospacing="0" w:line="360" w:lineRule="auto"/>
        <w:jc w:val="center"/>
        <w:rPr>
          <w:rFonts w:ascii="Times New Roman" w:cs="Times New Roman" w:hAnsi="Times New Roman"/>
          <w:bCs/>
          <w:sz w:val="28"/>
          <w:szCs w:val="28"/>
        </w:rPr>
      </w:pPr>
    </w:p>
    <w:p w14:paraId="0000072C">
      <w:pPr>
        <w:spacing w:beforeAutospacing="0" w:after="0" w:afterAutospacing="0" w:line="360" w:lineRule="auto"/>
        <w:jc w:val="center"/>
        <w:rPr>
          <w:rFonts w:ascii="Times New Roman" w:cs="Times New Roman" w:hAnsi="Times New Roman"/>
          <w:bCs/>
          <w:sz w:val="28"/>
          <w:szCs w:val="28"/>
        </w:rPr>
      </w:pPr>
    </w:p>
    <w:p w14:paraId="0000072D">
      <w:pPr>
        <w:spacing w:beforeAutospacing="0" w:after="0" w:afterAutospacing="0" w:line="360" w:lineRule="auto"/>
        <w:jc w:val="center"/>
        <w:rPr>
          <w:rFonts w:ascii="Times New Roman" w:cs="Times New Roman" w:hAnsi="Times New Roman"/>
          <w:bCs/>
          <w:sz w:val="28"/>
          <w:szCs w:val="28"/>
        </w:rPr>
      </w:pPr>
    </w:p>
    <w:p w14:paraId="0000072E">
      <w:pPr>
        <w:spacing w:beforeAutospacing="0" w:after="0" w:afterAutospacing="0" w:line="360" w:lineRule="auto"/>
        <w:jc w:val="center"/>
        <w:rPr>
          <w:rFonts w:ascii="Times New Roman" w:cs="Times New Roman" w:hAnsi="Times New Roman"/>
          <w:bCs/>
          <w:sz w:val="28"/>
          <w:szCs w:val="28"/>
        </w:rPr>
      </w:pPr>
    </w:p>
    <w:p w14:paraId="0000072F">
      <w:pPr>
        <w:spacing w:beforeAutospacing="0" w:after="0" w:afterAutospacing="0" w:line="360" w:lineRule="auto"/>
        <w:jc w:val="center"/>
        <w:rPr>
          <w:rFonts w:ascii="Times New Roman" w:cs="Times New Roman" w:hAnsi="Times New Roman"/>
          <w:bCs/>
          <w:sz w:val="28"/>
          <w:szCs w:val="28"/>
        </w:rPr>
      </w:pPr>
    </w:p>
    <w:p w14:paraId="00000730">
      <w:pPr>
        <w:spacing w:beforeAutospacing="0" w:after="0" w:afterAutospacing="0" w:line="360" w:lineRule="auto"/>
        <w:jc w:val="center"/>
        <w:rPr>
          <w:rFonts w:ascii="Times New Roman" w:cs="Times New Roman" w:hAnsi="Times New Roman"/>
          <w:bCs/>
          <w:sz w:val="28"/>
          <w:szCs w:val="28"/>
        </w:rPr>
      </w:pPr>
    </w:p>
    <w:p w14:paraId="00000731">
      <w:pPr>
        <w:spacing w:beforeAutospacing="0" w:after="0" w:afterAutospacing="0" w:line="360" w:lineRule="auto"/>
        <w:jc w:val="center"/>
        <w:rPr>
          <w:rFonts w:ascii="Times New Roman" w:cs="Times New Roman" w:hAnsi="Times New Roman"/>
          <w:bCs/>
          <w:sz w:val="28"/>
          <w:szCs w:val="28"/>
        </w:rPr>
      </w:pPr>
    </w:p>
    <w:p w14:paraId="00000732">
      <w:pPr>
        <w:spacing w:beforeAutospacing="0" w:after="0" w:afterAutospacing="0" w:line="360" w:lineRule="auto"/>
        <w:jc w:val="center"/>
        <w:rPr>
          <w:rFonts w:ascii="Times New Roman" w:cs="Times New Roman" w:hAnsi="Times New Roman"/>
          <w:bCs/>
          <w:sz w:val="28"/>
          <w:szCs w:val="28"/>
        </w:rPr>
      </w:pPr>
    </w:p>
    <w:p w14:paraId="00000733">
      <w:pPr>
        <w:spacing w:beforeAutospacing="0" w:after="0" w:afterAutospacing="0" w:line="360" w:lineRule="auto"/>
        <w:jc w:val="center"/>
        <w:rPr>
          <w:rFonts w:ascii="Times New Roman" w:cs="Times New Roman" w:hAnsi="Times New Roman"/>
          <w:bCs/>
          <w:sz w:val="28"/>
          <w:szCs w:val="28"/>
        </w:rPr>
      </w:pPr>
    </w:p>
    <w:p w14:paraId="00000734">
      <w:pPr>
        <w:spacing w:beforeAutospacing="0" w:after="0" w:afterAutospacing="0" w:line="360" w:lineRule="auto"/>
        <w:jc w:val="center"/>
        <w:rPr>
          <w:rFonts w:ascii="Times New Roman" w:cs="Times New Roman" w:hAnsi="Times New Roman"/>
          <w:bCs/>
          <w:sz w:val="28"/>
          <w:szCs w:val="28"/>
        </w:rPr>
      </w:pPr>
    </w:p>
    <w:p w14:paraId="00000735">
      <w:pPr>
        <w:spacing w:beforeAutospacing="0" w:after="0" w:afterAutospacing="0" w:line="360" w:lineRule="auto"/>
        <w:jc w:val="center"/>
        <w:rPr>
          <w:rFonts w:ascii="Times New Roman" w:cs="Times New Roman" w:hAnsi="Times New Roman"/>
          <w:bCs/>
          <w:sz w:val="28"/>
          <w:szCs w:val="28"/>
        </w:rPr>
      </w:pPr>
    </w:p>
    <w:p w14:paraId="00000736">
      <w:pPr>
        <w:spacing w:beforeAutospacing="0" w:after="0" w:afterAutospacing="0" w:line="360" w:lineRule="auto"/>
        <w:jc w:val="center"/>
        <w:rPr>
          <w:rFonts w:ascii="Times New Roman" w:cs="Times New Roman" w:hAnsi="Times New Roman"/>
          <w:bCs/>
          <w:sz w:val="28"/>
          <w:szCs w:val="28"/>
        </w:rPr>
      </w:pPr>
    </w:p>
    <w:p w14:paraId="00000737">
      <w:pPr>
        <w:spacing w:beforeAutospacing="0" w:after="0" w:afterAutospacing="0" w:line="360" w:lineRule="auto"/>
        <w:jc w:val="center"/>
        <w:rPr>
          <w:rFonts w:ascii="Times New Roman" w:cs="Times New Roman" w:hAnsi="Times New Roman"/>
          <w:b/>
          <w:bCs/>
          <w:sz w:val="28"/>
          <w:szCs w:val="28"/>
        </w:rPr>
      </w:pPr>
    </w:p>
    <w:p w14:paraId="00000738">
      <w:pPr>
        <w:spacing w:beforeAutospacing="0" w:after="0" w:afterAutospacing="0" w:line="360" w:lineRule="auto"/>
        <w:jc w:val="center"/>
        <w:rPr>
          <w:rFonts w:ascii="Times New Roman" w:cs="Times New Roman" w:hAnsi="Times New Roman"/>
          <w:b/>
          <w:bCs/>
          <w:sz w:val="28"/>
          <w:szCs w:val="28"/>
        </w:rPr>
      </w:pPr>
      <w:r>
        <w:rPr>
          <w:rFonts w:ascii="Times New Roman" w:cs="Times New Roman" w:hAnsi="Times New Roman"/>
          <w:b/>
          <w:bCs/>
          <w:sz w:val="28"/>
          <w:szCs w:val="28"/>
        </w:rPr>
        <w:t>Приложение Б</w:t>
      </w:r>
    </w:p>
    <w:p w14:paraId="00000739">
      <w:pPr>
        <w:spacing w:beforeAutospacing="0" w:after="0" w:afterAutospacing="0" w:line="360" w:lineRule="auto"/>
        <w:jc w:val="center"/>
        <w:rPr>
          <w:rFonts w:ascii="Times New Roman" w:cs="Times New Roman" w:hAnsi="Times New Roman"/>
          <w:b/>
          <w:bCs/>
          <w:sz w:val="28"/>
          <w:szCs w:val="28"/>
        </w:rPr>
      </w:pPr>
      <w:r>
        <w:rPr>
          <w:rFonts w:ascii="Times New Roman" w:cs="Times New Roman" w:hAnsi="Times New Roman"/>
          <w:b/>
          <w:bCs/>
          <w:sz w:val="28"/>
          <w:szCs w:val="28"/>
        </w:rPr>
        <w:t>Технические характеристики смесителя двухвального СМ-2</w:t>
      </w:r>
    </w:p>
    <w:p w14:paraId="0000073A">
      <w:pPr>
        <w:spacing w:beforeAutospacing="0" w:after="0" w:afterAutospacing="0" w:line="360" w:lineRule="auto"/>
        <w:jc w:val="center"/>
        <w:rPr>
          <w:rFonts w:ascii="Times New Roman" w:cs="Times New Roman" w:hAnsi="Times New Roman"/>
          <w:sz w:val="28"/>
          <w:szCs w:val="28"/>
        </w:rPr>
      </w:pPr>
    </w:p>
    <w:tbl>
      <w:tblPr>
        <w:tblStyle w:val="TableGrid"/>
        <w:tblW w:w="9356" w:type="dxa"/>
        <w:tblInd w:w="-5" w:type="dxa"/>
        <w:tblLook w:val="04A0"/>
      </w:tblPr>
      <w:tblGrid>
        <w:gridCol w:w="6131"/>
        <w:gridCol w:w="3225"/>
      </w:tblGrid>
      <w:tr>
        <w:trPr/>
        <w:tc>
          <w:tcPr>
            <w:cnfStyle w:val="101000000000"/>
            <w:tcW w:w="6131" w:type="dxa"/>
          </w:tcPr>
          <w:p w14:paraId="0000073B">
            <w:pPr>
              <w:rPr>
                <w:rFonts w:ascii="Times New Roman" w:cs="Times New Roman" w:hAnsi="Times New Roman"/>
                <w:sz w:val="28"/>
                <w:szCs w:val="28"/>
              </w:rPr>
            </w:pPr>
            <w:r>
              <w:rPr>
                <w:rFonts w:ascii="Times New Roman" w:cs="Times New Roman" w:hAnsi="Times New Roman"/>
                <w:sz w:val="28"/>
                <w:szCs w:val="28"/>
              </w:rPr>
              <w:t>Параметр</w:t>
            </w:r>
          </w:p>
        </w:tc>
        <w:tc>
          <w:tcPr>
            <w:cnfStyle w:val="100000000000"/>
            <w:tcW w:w="3225" w:type="dxa"/>
          </w:tcPr>
          <w:p w14:paraId="0000073C">
            <w:pPr>
              <w:rPr>
                <w:rFonts w:ascii="Times New Roman" w:cs="Times New Roman" w:hAnsi="Times New Roman"/>
                <w:sz w:val="28"/>
                <w:szCs w:val="28"/>
              </w:rPr>
            </w:pPr>
            <w:r>
              <w:rPr>
                <w:rFonts w:ascii="Times New Roman" w:cs="Times New Roman" w:hAnsi="Times New Roman"/>
                <w:sz w:val="28"/>
                <w:szCs w:val="28"/>
              </w:rPr>
              <w:t>Значение</w:t>
            </w:r>
          </w:p>
        </w:tc>
      </w:tr>
      <w:tr>
        <w:trPr/>
        <w:tc>
          <w:tcPr>
            <w:cnfStyle w:val="001000100000"/>
            <w:tcW w:w="6131" w:type="dxa"/>
          </w:tcPr>
          <w:p w14:paraId="0000073D">
            <w:pPr>
              <w:rPr>
                <w:rFonts w:ascii="Times New Roman" w:cs="Times New Roman" w:hAnsi="Times New Roman"/>
                <w:sz w:val="28"/>
                <w:szCs w:val="28"/>
              </w:rPr>
            </w:pPr>
            <w:r>
              <w:rPr>
                <w:rFonts w:ascii="Times New Roman" w:cs="Times New Roman" w:hAnsi="Times New Roman"/>
                <w:sz w:val="28"/>
                <w:szCs w:val="28"/>
              </w:rPr>
              <w:t>Производительность, т/час</w:t>
            </w:r>
          </w:p>
        </w:tc>
        <w:tc>
          <w:tcPr>
            <w:cnfStyle w:val="000000100000"/>
            <w:tcW w:w="3225" w:type="dxa"/>
          </w:tcPr>
          <w:p w14:paraId="0000073E">
            <w:pPr>
              <w:rPr>
                <w:rFonts w:ascii="Times New Roman" w:cs="Times New Roman" w:hAnsi="Times New Roman"/>
                <w:sz w:val="28"/>
                <w:szCs w:val="28"/>
              </w:rPr>
            </w:pPr>
            <w:r>
              <w:rPr>
                <w:rFonts w:ascii="Times New Roman" w:cs="Times New Roman" w:hAnsi="Times New Roman"/>
                <w:sz w:val="28"/>
                <w:szCs w:val="28"/>
              </w:rPr>
              <w:t>5</w:t>
            </w:r>
          </w:p>
        </w:tc>
      </w:tr>
      <w:tr>
        <w:trPr/>
        <w:tc>
          <w:tcPr>
            <w:cnfStyle w:val="001000010000"/>
            <w:tcW w:w="6131" w:type="dxa"/>
          </w:tcPr>
          <w:p w14:paraId="0000073F">
            <w:pPr>
              <w:rPr>
                <w:rFonts w:ascii="Times New Roman" w:cs="Times New Roman" w:hAnsi="Times New Roman"/>
                <w:sz w:val="28"/>
                <w:szCs w:val="28"/>
              </w:rPr>
            </w:pPr>
            <w:r>
              <w:rPr>
                <w:rFonts w:ascii="Times New Roman" w:cs="Times New Roman" w:hAnsi="Times New Roman"/>
                <w:sz w:val="28"/>
                <w:szCs w:val="28"/>
              </w:rPr>
              <w:t>Объём готового замеса, л</w:t>
            </w:r>
          </w:p>
        </w:tc>
        <w:tc>
          <w:tcPr>
            <w:cnfStyle w:val="000000010000"/>
            <w:tcW w:w="3225" w:type="dxa"/>
          </w:tcPr>
          <w:p w14:paraId="00000740">
            <w:pPr>
              <w:rPr>
                <w:rFonts w:ascii="Times New Roman" w:cs="Times New Roman" w:hAnsi="Times New Roman"/>
                <w:sz w:val="28"/>
                <w:szCs w:val="28"/>
              </w:rPr>
            </w:pPr>
            <w:r>
              <w:rPr>
                <w:rFonts w:ascii="Times New Roman" w:cs="Times New Roman" w:hAnsi="Times New Roman"/>
                <w:sz w:val="28"/>
                <w:szCs w:val="28"/>
              </w:rPr>
              <w:t>500</w:t>
            </w:r>
          </w:p>
        </w:tc>
      </w:tr>
      <w:tr>
        <w:trPr/>
        <w:tc>
          <w:tcPr>
            <w:cnfStyle w:val="001000100000"/>
            <w:tcW w:w="6131" w:type="dxa"/>
          </w:tcPr>
          <w:p w14:paraId="00000741">
            <w:pPr>
              <w:rPr>
                <w:rFonts w:ascii="Times New Roman" w:cs="Times New Roman" w:hAnsi="Times New Roman"/>
                <w:sz w:val="28"/>
                <w:szCs w:val="28"/>
              </w:rPr>
            </w:pPr>
            <w:r>
              <w:rPr>
                <w:rFonts w:ascii="Times New Roman" w:cs="Times New Roman" w:hAnsi="Times New Roman"/>
                <w:sz w:val="28"/>
                <w:szCs w:val="28"/>
              </w:rPr>
              <w:t>Мощность электродвигателя, кВт</w:t>
            </w:r>
          </w:p>
        </w:tc>
        <w:tc>
          <w:tcPr>
            <w:cnfStyle w:val="000000100000"/>
            <w:tcW w:w="3225" w:type="dxa"/>
          </w:tcPr>
          <w:p w14:paraId="00000742">
            <w:pPr>
              <w:rPr>
                <w:rFonts w:ascii="Times New Roman" w:cs="Times New Roman" w:hAnsi="Times New Roman"/>
                <w:sz w:val="28"/>
                <w:szCs w:val="28"/>
              </w:rPr>
            </w:pPr>
            <w:r>
              <w:rPr>
                <w:rFonts w:ascii="Times New Roman" w:cs="Times New Roman" w:hAnsi="Times New Roman"/>
                <w:sz w:val="28"/>
                <w:szCs w:val="28"/>
              </w:rPr>
              <w:t>30</w:t>
            </w:r>
          </w:p>
        </w:tc>
      </w:tr>
      <w:tr>
        <w:trPr/>
        <w:tc>
          <w:tcPr>
            <w:cnfStyle w:val="001000010000"/>
            <w:tcW w:w="6131" w:type="dxa"/>
          </w:tcPr>
          <w:p w14:paraId="00000743">
            <w:pPr>
              <w:rPr>
                <w:rFonts w:ascii="Times New Roman" w:cs="Times New Roman" w:hAnsi="Times New Roman"/>
                <w:sz w:val="28"/>
                <w:szCs w:val="28"/>
              </w:rPr>
            </w:pPr>
            <w:r>
              <w:rPr>
                <w:rFonts w:ascii="Times New Roman" w:cs="Times New Roman" w:hAnsi="Times New Roman"/>
                <w:sz w:val="28"/>
                <w:szCs w:val="28"/>
              </w:rPr>
              <w:t>Частота вращения валов, об/мин</w:t>
            </w:r>
          </w:p>
        </w:tc>
        <w:tc>
          <w:tcPr>
            <w:cnfStyle w:val="000000010000"/>
            <w:tcW w:w="3225" w:type="dxa"/>
          </w:tcPr>
          <w:p w14:paraId="00000744">
            <w:pPr>
              <w:rPr>
                <w:rFonts w:ascii="Times New Roman" w:cs="Times New Roman" w:hAnsi="Times New Roman"/>
                <w:sz w:val="28"/>
                <w:szCs w:val="28"/>
              </w:rPr>
            </w:pPr>
            <w:r>
              <w:rPr>
                <w:rFonts w:ascii="Times New Roman" w:cs="Times New Roman" w:hAnsi="Times New Roman"/>
                <w:sz w:val="28"/>
                <w:szCs w:val="28"/>
              </w:rPr>
              <w:t>25–35</w:t>
            </w:r>
          </w:p>
        </w:tc>
      </w:tr>
      <w:tr>
        <w:trPr/>
        <w:tc>
          <w:tcPr>
            <w:cnfStyle w:val="001000100000"/>
            <w:tcW w:w="6131" w:type="dxa"/>
          </w:tcPr>
          <w:p w14:paraId="00000745">
            <w:pPr>
              <w:rPr>
                <w:rFonts w:ascii="Times New Roman" w:cs="Times New Roman" w:hAnsi="Times New Roman"/>
                <w:sz w:val="28"/>
                <w:szCs w:val="28"/>
              </w:rPr>
            </w:pPr>
            <w:r>
              <w:rPr>
                <w:rFonts w:ascii="Times New Roman" w:cs="Times New Roman" w:hAnsi="Times New Roman"/>
                <w:sz w:val="28"/>
                <w:szCs w:val="28"/>
              </w:rPr>
              <w:t>Габаритные размеры (Д×Ш×В), м</w:t>
            </w:r>
          </w:p>
        </w:tc>
        <w:tc>
          <w:tcPr>
            <w:cnfStyle w:val="000000100000"/>
            <w:tcW w:w="3225" w:type="dxa"/>
          </w:tcPr>
          <w:p w14:paraId="00000746">
            <w:pPr>
              <w:rPr>
                <w:rFonts w:ascii="Times New Roman" w:cs="Times New Roman" w:hAnsi="Times New Roman"/>
                <w:sz w:val="28"/>
                <w:szCs w:val="28"/>
              </w:rPr>
            </w:pPr>
            <w:r>
              <w:rPr>
                <w:rFonts w:ascii="Times New Roman" w:cs="Times New Roman" w:hAnsi="Times New Roman"/>
                <w:sz w:val="28"/>
                <w:szCs w:val="28"/>
              </w:rPr>
              <w:t>2,8×1,2×1,5</w:t>
            </w:r>
          </w:p>
        </w:tc>
      </w:tr>
      <w:tr>
        <w:trPr/>
        <w:tc>
          <w:tcPr>
            <w:cnfStyle w:val="001000010000"/>
            <w:tcW w:w="6131" w:type="dxa"/>
          </w:tcPr>
          <w:p w14:paraId="00000747">
            <w:pPr>
              <w:rPr>
                <w:rFonts w:ascii="Times New Roman" w:cs="Times New Roman" w:hAnsi="Times New Roman"/>
                <w:sz w:val="28"/>
                <w:szCs w:val="28"/>
              </w:rPr>
            </w:pPr>
            <w:r>
              <w:rPr>
                <w:rFonts w:ascii="Times New Roman" w:cs="Times New Roman" w:hAnsi="Times New Roman"/>
                <w:sz w:val="28"/>
                <w:szCs w:val="28"/>
              </w:rPr>
              <w:t>Масса, т</w:t>
            </w:r>
          </w:p>
        </w:tc>
        <w:tc>
          <w:tcPr>
            <w:cnfStyle w:val="000000010000"/>
            <w:tcW w:w="3225" w:type="dxa"/>
          </w:tcPr>
          <w:p w14:paraId="00000748">
            <w:pPr>
              <w:rPr>
                <w:rFonts w:ascii="Times New Roman" w:cs="Times New Roman" w:hAnsi="Times New Roman"/>
                <w:sz w:val="28"/>
                <w:szCs w:val="28"/>
              </w:rPr>
            </w:pPr>
            <w:r>
              <w:rPr>
                <w:rFonts w:ascii="Times New Roman" w:cs="Times New Roman" w:hAnsi="Times New Roman"/>
                <w:sz w:val="28"/>
                <w:szCs w:val="28"/>
              </w:rPr>
              <w:t>2,8</w:t>
            </w:r>
          </w:p>
        </w:tc>
      </w:tr>
      <w:tr>
        <w:trPr/>
        <w:tc>
          <w:tcPr>
            <w:cnfStyle w:val="001000100000"/>
            <w:tcW w:w="6131" w:type="dxa"/>
          </w:tcPr>
          <w:p w14:paraId="00000749">
            <w:pPr>
              <w:rPr>
                <w:rFonts w:ascii="Times New Roman" w:cs="Times New Roman" w:hAnsi="Times New Roman"/>
                <w:sz w:val="28"/>
                <w:szCs w:val="28"/>
              </w:rPr>
            </w:pPr>
            <w:r>
              <w:rPr>
                <w:rFonts w:ascii="Times New Roman" w:cs="Times New Roman" w:hAnsi="Times New Roman"/>
                <w:sz w:val="28"/>
                <w:szCs w:val="28"/>
              </w:rPr>
              <w:t>Количество лопаток на валу, шт.</w:t>
            </w:r>
          </w:p>
        </w:tc>
        <w:tc>
          <w:tcPr>
            <w:cnfStyle w:val="000000100000"/>
            <w:tcW w:w="3225" w:type="dxa"/>
          </w:tcPr>
          <w:p w14:paraId="0000074A">
            <w:pPr>
              <w:rPr>
                <w:rFonts w:ascii="Times New Roman" w:cs="Times New Roman" w:hAnsi="Times New Roman"/>
                <w:sz w:val="28"/>
                <w:szCs w:val="28"/>
              </w:rPr>
            </w:pPr>
            <w:r>
              <w:rPr>
                <w:rFonts w:ascii="Times New Roman" w:cs="Times New Roman" w:hAnsi="Times New Roman"/>
                <w:sz w:val="28"/>
                <w:szCs w:val="28"/>
              </w:rPr>
              <w:t>24</w:t>
            </w:r>
          </w:p>
        </w:tc>
      </w:tr>
      <w:tr>
        <w:trPr/>
        <w:tc>
          <w:tcPr>
            <w:cnfStyle w:val="001000010000"/>
            <w:tcW w:w="6131" w:type="dxa"/>
          </w:tcPr>
          <w:p w14:paraId="0000074B">
            <w:pPr>
              <w:rPr>
                <w:rFonts w:ascii="Times New Roman" w:cs="Times New Roman" w:hAnsi="Times New Roman"/>
                <w:sz w:val="28"/>
                <w:szCs w:val="28"/>
              </w:rPr>
            </w:pPr>
            <w:r>
              <w:rPr>
                <w:rFonts w:ascii="Times New Roman" w:cs="Times New Roman" w:hAnsi="Times New Roman"/>
                <w:sz w:val="28"/>
                <w:szCs w:val="28"/>
              </w:rPr>
              <w:t>Материал рабочих органов</w:t>
            </w:r>
          </w:p>
        </w:tc>
        <w:tc>
          <w:tcPr>
            <w:cnfStyle w:val="000000010000"/>
            <w:tcW w:w="3225" w:type="dxa"/>
          </w:tcPr>
          <w:p w14:paraId="0000074C">
            <w:pPr>
              <w:rPr>
                <w:rFonts w:ascii="Times New Roman" w:cs="Times New Roman" w:hAnsi="Times New Roman"/>
                <w:sz w:val="28"/>
                <w:szCs w:val="28"/>
              </w:rPr>
            </w:pPr>
            <w:r>
              <w:rPr>
                <w:rFonts w:ascii="Times New Roman" w:cs="Times New Roman" w:hAnsi="Times New Roman"/>
                <w:sz w:val="28"/>
                <w:szCs w:val="28"/>
              </w:rPr>
              <w:t>сталь 110Г13Л</w:t>
            </w:r>
          </w:p>
        </w:tc>
      </w:tr>
      <w:tr>
        <w:trPr/>
        <w:tc>
          <w:tcPr>
            <w:cnfStyle w:val="001000100000"/>
            <w:tcW w:w="6131" w:type="dxa"/>
          </w:tcPr>
          <w:p w14:paraId="0000074D">
            <w:pPr>
              <w:rPr>
                <w:rFonts w:ascii="Times New Roman" w:cs="Times New Roman" w:hAnsi="Times New Roman"/>
                <w:sz w:val="28"/>
                <w:szCs w:val="28"/>
              </w:rPr>
            </w:pPr>
            <w:r>
              <w:rPr>
                <w:rFonts w:ascii="Times New Roman" w:cs="Times New Roman" w:hAnsi="Times New Roman"/>
                <w:sz w:val="28"/>
                <w:szCs w:val="28"/>
              </w:rPr>
              <w:t>Напряжение питания, В</w:t>
            </w:r>
          </w:p>
        </w:tc>
        <w:tc>
          <w:tcPr>
            <w:cnfStyle w:val="000000100000"/>
            <w:tcW w:w="3225" w:type="dxa"/>
          </w:tcPr>
          <w:p w14:paraId="0000074E">
            <w:pPr>
              <w:rPr>
                <w:rFonts w:ascii="Times New Roman" w:cs="Times New Roman" w:hAnsi="Times New Roman"/>
                <w:sz w:val="28"/>
                <w:szCs w:val="28"/>
              </w:rPr>
            </w:pPr>
            <w:r>
              <w:rPr>
                <w:rFonts w:ascii="Times New Roman" w:cs="Times New Roman" w:hAnsi="Times New Roman"/>
                <w:sz w:val="28"/>
                <w:szCs w:val="28"/>
              </w:rPr>
              <w:t>380</w:t>
            </w:r>
          </w:p>
        </w:tc>
      </w:tr>
    </w:tbl>
    <w:p w14:paraId="0000074F">
      <w:pPr>
        <w:rPr>
          <w:i/>
          <w:iCs/>
        </w:rPr>
      </w:pPr>
      <w:r>
        <w:rPr>
          <w:i/>
          <w:iCs/>
        </w:rPr>
        <w:t>\</w:t>
      </w:r>
    </w:p>
    <w:p w14:paraId="00000750">
      <w:pPr>
        <w:rPr>
          <w:i/>
          <w:iCs/>
        </w:rPr>
      </w:pPr>
    </w:p>
    <w:p w14:paraId="00000751">
      <w:pPr>
        <w:rPr>
          <w:i/>
          <w:iCs/>
        </w:rPr>
      </w:pPr>
    </w:p>
    <w:p w14:paraId="00000752">
      <w:pPr>
        <w:spacing w:beforeAutospacing="0" w:after="0" w:afterAutospacing="0" w:line="360" w:lineRule="auto"/>
        <w:jc w:val="center"/>
        <w:rPr>
          <w:rFonts w:ascii="Times New Roman" w:cs="Times New Roman" w:hAnsi="Times New Roman"/>
          <w:bCs/>
          <w:sz w:val="28"/>
          <w:szCs w:val="28"/>
        </w:rPr>
      </w:pPr>
    </w:p>
    <w:p w14:paraId="00000753">
      <w:pPr>
        <w:spacing w:beforeAutospacing="0" w:after="0" w:afterAutospacing="0" w:line="360" w:lineRule="auto"/>
        <w:jc w:val="center"/>
        <w:rPr>
          <w:rFonts w:ascii="Times New Roman" w:cs="Times New Roman" w:hAnsi="Times New Roman"/>
          <w:bCs/>
          <w:sz w:val="28"/>
          <w:szCs w:val="28"/>
        </w:rPr>
      </w:pPr>
    </w:p>
    <w:p w14:paraId="00000754">
      <w:pPr>
        <w:spacing w:beforeAutospacing="0" w:after="0" w:afterAutospacing="0" w:line="360" w:lineRule="auto"/>
        <w:jc w:val="center"/>
        <w:rPr>
          <w:rFonts w:ascii="Times New Roman" w:cs="Times New Roman" w:hAnsi="Times New Roman"/>
          <w:bCs/>
          <w:sz w:val="28"/>
          <w:szCs w:val="28"/>
        </w:rPr>
      </w:pPr>
    </w:p>
    <w:p w14:paraId="00000755">
      <w:pPr>
        <w:spacing w:beforeAutospacing="0" w:after="0" w:afterAutospacing="0" w:line="360" w:lineRule="auto"/>
        <w:jc w:val="center"/>
        <w:rPr>
          <w:rFonts w:ascii="Times New Roman" w:cs="Times New Roman" w:hAnsi="Times New Roman"/>
          <w:bCs/>
          <w:sz w:val="28"/>
          <w:szCs w:val="28"/>
        </w:rPr>
      </w:pPr>
    </w:p>
    <w:p w14:paraId="00000756">
      <w:pPr>
        <w:spacing w:beforeAutospacing="0" w:after="0" w:afterAutospacing="0" w:line="360" w:lineRule="auto"/>
        <w:jc w:val="center"/>
        <w:rPr>
          <w:rFonts w:ascii="Times New Roman" w:cs="Times New Roman" w:hAnsi="Times New Roman"/>
          <w:bCs/>
          <w:sz w:val="28"/>
          <w:szCs w:val="28"/>
        </w:rPr>
      </w:pPr>
    </w:p>
    <w:p w14:paraId="00000757">
      <w:pPr>
        <w:spacing w:beforeAutospacing="0" w:after="0" w:afterAutospacing="0" w:line="360" w:lineRule="auto"/>
        <w:jc w:val="center"/>
        <w:rPr>
          <w:rFonts w:ascii="Times New Roman" w:cs="Times New Roman" w:hAnsi="Times New Roman"/>
          <w:bCs/>
          <w:sz w:val="28"/>
          <w:szCs w:val="28"/>
        </w:rPr>
      </w:pPr>
    </w:p>
    <w:p w14:paraId="00000758">
      <w:pPr>
        <w:spacing w:beforeAutospacing="0" w:after="0" w:afterAutospacing="0" w:line="360" w:lineRule="auto"/>
        <w:jc w:val="center"/>
        <w:rPr>
          <w:rFonts w:ascii="Times New Roman" w:cs="Times New Roman" w:hAnsi="Times New Roman"/>
          <w:bCs/>
          <w:sz w:val="28"/>
          <w:szCs w:val="28"/>
        </w:rPr>
      </w:pPr>
    </w:p>
    <w:p w14:paraId="00000759">
      <w:pPr>
        <w:spacing w:beforeAutospacing="0" w:after="0" w:afterAutospacing="0" w:line="360" w:lineRule="auto"/>
        <w:jc w:val="center"/>
        <w:rPr>
          <w:rFonts w:ascii="Times New Roman" w:cs="Times New Roman" w:hAnsi="Times New Roman"/>
          <w:bCs/>
          <w:sz w:val="28"/>
          <w:szCs w:val="28"/>
        </w:rPr>
      </w:pPr>
    </w:p>
    <w:p w14:paraId="0000075A">
      <w:pPr>
        <w:spacing w:beforeAutospacing="0" w:after="0" w:afterAutospacing="0" w:line="360" w:lineRule="auto"/>
        <w:jc w:val="center"/>
        <w:rPr>
          <w:rFonts w:ascii="Times New Roman" w:cs="Times New Roman" w:hAnsi="Times New Roman"/>
          <w:bCs/>
          <w:sz w:val="28"/>
          <w:szCs w:val="28"/>
        </w:rPr>
      </w:pPr>
    </w:p>
    <w:p w14:paraId="0000075B">
      <w:pPr>
        <w:spacing w:beforeAutospacing="0" w:after="0" w:afterAutospacing="0" w:line="360" w:lineRule="auto"/>
        <w:jc w:val="center"/>
        <w:rPr>
          <w:rFonts w:ascii="Times New Roman" w:cs="Times New Roman" w:hAnsi="Times New Roman"/>
          <w:bCs/>
          <w:sz w:val="28"/>
          <w:szCs w:val="28"/>
        </w:rPr>
      </w:pPr>
    </w:p>
    <w:p w14:paraId="0000075C">
      <w:pPr>
        <w:spacing w:beforeAutospacing="0" w:after="0" w:afterAutospacing="0" w:line="360" w:lineRule="auto"/>
        <w:jc w:val="center"/>
        <w:rPr>
          <w:rFonts w:ascii="Times New Roman" w:cs="Times New Roman" w:hAnsi="Times New Roman"/>
          <w:bCs/>
          <w:sz w:val="28"/>
          <w:szCs w:val="28"/>
        </w:rPr>
      </w:pPr>
    </w:p>
    <w:p w14:paraId="0000075D">
      <w:pPr>
        <w:spacing w:beforeAutospacing="0" w:after="0" w:afterAutospacing="0" w:line="360" w:lineRule="auto"/>
        <w:jc w:val="center"/>
        <w:rPr>
          <w:rFonts w:ascii="Times New Roman" w:cs="Times New Roman" w:hAnsi="Times New Roman"/>
          <w:bCs/>
          <w:sz w:val="28"/>
          <w:szCs w:val="28"/>
        </w:rPr>
      </w:pPr>
    </w:p>
    <w:p w14:paraId="0000075E">
      <w:pPr>
        <w:spacing w:beforeAutospacing="0" w:after="0" w:afterAutospacing="0" w:line="360" w:lineRule="auto"/>
        <w:jc w:val="center"/>
        <w:rPr>
          <w:rFonts w:ascii="Times New Roman" w:cs="Times New Roman" w:hAnsi="Times New Roman"/>
          <w:bCs/>
          <w:sz w:val="28"/>
          <w:szCs w:val="28"/>
        </w:rPr>
      </w:pPr>
    </w:p>
    <w:p w14:paraId="0000075F">
      <w:pPr>
        <w:spacing w:beforeAutospacing="0" w:after="0" w:afterAutospacing="0" w:line="360" w:lineRule="auto"/>
        <w:jc w:val="center"/>
        <w:rPr>
          <w:rFonts w:ascii="Times New Roman" w:cs="Times New Roman" w:hAnsi="Times New Roman"/>
          <w:bCs/>
          <w:sz w:val="28"/>
          <w:szCs w:val="28"/>
        </w:rPr>
      </w:pPr>
    </w:p>
    <w:p w14:paraId="00000760">
      <w:pPr>
        <w:spacing w:beforeAutospacing="0" w:after="0" w:afterAutospacing="0" w:line="360" w:lineRule="auto"/>
        <w:jc w:val="center"/>
        <w:rPr>
          <w:rFonts w:ascii="Times New Roman" w:cs="Times New Roman" w:hAnsi="Times New Roman"/>
          <w:bCs/>
          <w:sz w:val="28"/>
          <w:szCs w:val="28"/>
        </w:rPr>
      </w:pPr>
    </w:p>
    <w:p w14:paraId="00000761">
      <w:pPr>
        <w:spacing w:beforeAutospacing="0" w:after="0" w:afterAutospacing="0" w:line="360" w:lineRule="auto"/>
        <w:jc w:val="center"/>
        <w:rPr>
          <w:rFonts w:ascii="Times New Roman" w:cs="Times New Roman" w:hAnsi="Times New Roman"/>
          <w:bCs/>
          <w:sz w:val="28"/>
          <w:szCs w:val="28"/>
        </w:rPr>
      </w:pPr>
    </w:p>
    <w:p w14:paraId="00000762">
      <w:pPr>
        <w:spacing w:beforeAutospacing="0" w:after="0" w:afterAutospacing="0" w:line="360" w:lineRule="auto"/>
        <w:jc w:val="center"/>
        <w:rPr>
          <w:rFonts w:ascii="Times New Roman" w:cs="Times New Roman" w:hAnsi="Times New Roman"/>
          <w:bCs/>
          <w:sz w:val="28"/>
          <w:szCs w:val="28"/>
        </w:rPr>
      </w:pPr>
    </w:p>
    <w:p w14:paraId="00000763">
      <w:pPr>
        <w:spacing w:beforeAutospacing="0" w:after="0" w:afterAutospacing="0" w:line="360" w:lineRule="auto"/>
        <w:jc w:val="center"/>
        <w:rPr>
          <w:rFonts w:ascii="Times New Roman" w:cs="Times New Roman" w:hAnsi="Times New Roman"/>
          <w:b/>
          <w:bCs/>
          <w:sz w:val="28"/>
          <w:szCs w:val="28"/>
        </w:rPr>
      </w:pPr>
      <w:r>
        <w:rPr>
          <w:rFonts w:ascii="Times New Roman" w:cs="Times New Roman" w:hAnsi="Times New Roman"/>
          <w:b/>
          <w:bCs/>
          <w:sz w:val="28"/>
          <w:szCs w:val="28"/>
        </w:rPr>
        <w:t>Приложение В</w:t>
      </w:r>
    </w:p>
    <w:p w14:paraId="00000764">
      <w:pPr>
        <w:spacing w:beforeAutospacing="0" w:after="0" w:afterAutospacing="0" w:line="360" w:lineRule="auto"/>
        <w:jc w:val="center"/>
        <w:rPr>
          <w:rFonts w:ascii="Times New Roman" w:cs="Times New Roman" w:hAnsi="Times New Roman"/>
          <w:sz w:val="28"/>
          <w:szCs w:val="28"/>
        </w:rPr>
      </w:pPr>
      <w:r>
        <w:rPr>
          <w:rFonts w:ascii="Times New Roman" w:cs="Times New Roman" w:hAnsi="Times New Roman"/>
          <w:b/>
          <w:bCs/>
          <w:sz w:val="28"/>
          <w:szCs w:val="28"/>
        </w:rPr>
        <w:t>Технические характеристики пропарочной камеры</w:t>
      </w:r>
    </w:p>
    <w:p w14:paraId="00000765">
      <w:pPr>
        <w:spacing w:beforeAutospacing="0" w:after="0" w:afterAutospacing="0" w:line="360" w:lineRule="auto"/>
        <w:jc w:val="center"/>
        <w:rPr>
          <w:rFonts w:ascii="Times New Roman" w:cs="Times New Roman" w:hAnsi="Times New Roman"/>
          <w:sz w:val="28"/>
          <w:szCs w:val="28"/>
        </w:rPr>
      </w:pPr>
    </w:p>
    <w:tbl>
      <w:tblPr>
        <w:tblStyle w:val="TableGrid"/>
        <w:tblW w:w="9072" w:type="dxa"/>
        <w:tblInd w:w="-5" w:type="dxa"/>
        <w:tblLook w:val="04A0"/>
      </w:tblPr>
      <w:tblGrid>
        <w:gridCol w:w="5684"/>
        <w:gridCol w:w="3388"/>
      </w:tblGrid>
      <w:tr>
        <w:trPr/>
        <w:tc>
          <w:tcPr>
            <w:cnfStyle w:val="101000000000"/>
            <w:tcW w:w="5684" w:type="dxa"/>
          </w:tcPr>
          <w:p w14:paraId="00000766">
            <w:pPr>
              <w:spacing w:beforeAutospacing="0" w:afterAutospacing="0" w:line="360" w:lineRule="auto"/>
              <w:jc w:val="center"/>
              <w:rPr>
                <w:rFonts w:ascii="Times New Roman" w:cs="Times New Roman" w:hAnsi="Times New Roman"/>
                <w:sz w:val="28"/>
                <w:szCs w:val="28"/>
              </w:rPr>
            </w:pPr>
            <w:r>
              <w:rPr>
                <w:rFonts w:ascii="Times New Roman" w:cs="Times New Roman" w:hAnsi="Times New Roman"/>
                <w:sz w:val="28"/>
                <w:szCs w:val="28"/>
              </w:rPr>
              <w:t>Параметр</w:t>
            </w:r>
          </w:p>
        </w:tc>
        <w:tc>
          <w:tcPr>
            <w:cnfStyle w:val="100000000000"/>
            <w:tcW w:w="3388" w:type="dxa"/>
          </w:tcPr>
          <w:p w14:paraId="00000767">
            <w:pPr>
              <w:spacing w:beforeAutospacing="0" w:afterAutospacing="0" w:line="360" w:lineRule="auto"/>
              <w:jc w:val="center"/>
              <w:rPr>
                <w:rFonts w:ascii="Times New Roman" w:cs="Times New Roman" w:hAnsi="Times New Roman"/>
                <w:sz w:val="28"/>
                <w:szCs w:val="28"/>
              </w:rPr>
            </w:pPr>
            <w:r>
              <w:rPr>
                <w:rFonts w:ascii="Times New Roman" w:cs="Times New Roman" w:hAnsi="Times New Roman"/>
                <w:sz w:val="28"/>
                <w:szCs w:val="28"/>
              </w:rPr>
              <w:t>Значение</w:t>
            </w:r>
          </w:p>
        </w:tc>
      </w:tr>
      <w:tr>
        <w:trPr/>
        <w:tc>
          <w:tcPr>
            <w:cnfStyle w:val="001000100000"/>
            <w:tcW w:w="5684" w:type="dxa"/>
          </w:tcPr>
          <w:p w14:paraId="00000768">
            <w:pPr>
              <w:jc w:val="both"/>
              <w:rPr>
                <w:rFonts w:ascii="Times New Roman" w:cs="Times New Roman" w:hAnsi="Times New Roman"/>
                <w:sz w:val="28"/>
                <w:szCs w:val="28"/>
              </w:rPr>
            </w:pPr>
            <w:r>
              <w:rPr>
                <w:rFonts w:ascii="Times New Roman" w:cs="Times New Roman" w:hAnsi="Times New Roman"/>
                <w:sz w:val="28"/>
                <w:szCs w:val="28"/>
              </w:rPr>
              <w:t>Вместимость, поддонов</w:t>
            </w:r>
          </w:p>
        </w:tc>
        <w:tc>
          <w:tcPr>
            <w:cnfStyle w:val="000000100000"/>
            <w:tcW w:w="3388" w:type="dxa"/>
          </w:tcPr>
          <w:p w14:paraId="00000769">
            <w:pPr>
              <w:jc w:val="center"/>
              <w:rPr>
                <w:rFonts w:ascii="Times New Roman" w:cs="Times New Roman" w:hAnsi="Times New Roman"/>
                <w:sz w:val="28"/>
                <w:szCs w:val="28"/>
              </w:rPr>
            </w:pPr>
            <w:r>
              <w:rPr>
                <w:rFonts w:ascii="Times New Roman" w:cs="Times New Roman" w:hAnsi="Times New Roman"/>
                <w:sz w:val="28"/>
                <w:szCs w:val="28"/>
              </w:rPr>
              <w:t>30</w:t>
            </w:r>
          </w:p>
        </w:tc>
      </w:tr>
      <w:tr>
        <w:trPr/>
        <w:tc>
          <w:tcPr>
            <w:cnfStyle w:val="001000010000"/>
            <w:tcW w:w="5684" w:type="dxa"/>
          </w:tcPr>
          <w:p w14:paraId="0000076A">
            <w:pPr>
              <w:jc w:val="both"/>
              <w:rPr>
                <w:rFonts w:ascii="Times New Roman" w:cs="Times New Roman" w:hAnsi="Times New Roman"/>
                <w:sz w:val="28"/>
                <w:szCs w:val="28"/>
              </w:rPr>
            </w:pPr>
            <w:r>
              <w:rPr>
                <w:rFonts w:ascii="Times New Roman" w:cs="Times New Roman" w:hAnsi="Times New Roman"/>
                <w:sz w:val="28"/>
                <w:szCs w:val="28"/>
              </w:rPr>
              <w:t>Габаритные размеры (Д×Ш×В), м</w:t>
            </w:r>
          </w:p>
        </w:tc>
        <w:tc>
          <w:tcPr>
            <w:cnfStyle w:val="000000010000"/>
            <w:tcW w:w="3388" w:type="dxa"/>
          </w:tcPr>
          <w:p w14:paraId="0000076B">
            <w:pPr>
              <w:jc w:val="center"/>
              <w:rPr>
                <w:rFonts w:ascii="Times New Roman" w:cs="Times New Roman" w:hAnsi="Times New Roman"/>
                <w:sz w:val="28"/>
                <w:szCs w:val="28"/>
              </w:rPr>
            </w:pPr>
            <w:r>
              <w:rPr>
                <w:rFonts w:ascii="Times New Roman" w:cs="Times New Roman" w:hAnsi="Times New Roman"/>
                <w:sz w:val="28"/>
                <w:szCs w:val="28"/>
              </w:rPr>
              <w:t>6,0×2,5×2,5</w:t>
            </w:r>
          </w:p>
        </w:tc>
      </w:tr>
      <w:tr>
        <w:trPr/>
        <w:tc>
          <w:tcPr>
            <w:cnfStyle w:val="001000100000"/>
            <w:tcW w:w="5684" w:type="dxa"/>
          </w:tcPr>
          <w:p w14:paraId="0000076C">
            <w:pPr>
              <w:jc w:val="both"/>
              <w:rPr>
                <w:rFonts w:ascii="Times New Roman" w:cs="Times New Roman" w:hAnsi="Times New Roman"/>
                <w:sz w:val="28"/>
                <w:szCs w:val="28"/>
              </w:rPr>
            </w:pPr>
            <w:r>
              <w:rPr>
                <w:rFonts w:ascii="Times New Roman" w:cs="Times New Roman" w:hAnsi="Times New Roman"/>
                <w:sz w:val="28"/>
                <w:szCs w:val="28"/>
              </w:rPr>
              <w:t>Рабочая температура, °С</w:t>
            </w:r>
          </w:p>
        </w:tc>
        <w:tc>
          <w:tcPr>
            <w:cnfStyle w:val="000000100000"/>
            <w:tcW w:w="3388" w:type="dxa"/>
          </w:tcPr>
          <w:p w14:paraId="0000076D">
            <w:pPr>
              <w:jc w:val="center"/>
              <w:rPr>
                <w:rFonts w:ascii="Times New Roman" w:cs="Times New Roman" w:hAnsi="Times New Roman"/>
                <w:sz w:val="28"/>
                <w:szCs w:val="28"/>
              </w:rPr>
            </w:pPr>
            <w:r>
              <w:rPr>
                <w:rFonts w:ascii="Times New Roman" w:cs="Times New Roman" w:hAnsi="Times New Roman"/>
                <w:sz w:val="28"/>
                <w:szCs w:val="28"/>
              </w:rPr>
              <w:t>40–80</w:t>
            </w:r>
          </w:p>
        </w:tc>
      </w:tr>
      <w:tr>
        <w:trPr/>
        <w:tc>
          <w:tcPr>
            <w:cnfStyle w:val="001000010000"/>
            <w:tcW w:w="5684" w:type="dxa"/>
          </w:tcPr>
          <w:p w14:paraId="0000076E">
            <w:pPr>
              <w:jc w:val="both"/>
              <w:rPr>
                <w:rFonts w:ascii="Times New Roman" w:cs="Times New Roman" w:hAnsi="Times New Roman"/>
                <w:sz w:val="28"/>
                <w:szCs w:val="28"/>
              </w:rPr>
            </w:pPr>
            <w:r>
              <w:rPr>
                <w:rFonts w:ascii="Times New Roman" w:cs="Times New Roman" w:hAnsi="Times New Roman"/>
                <w:sz w:val="28"/>
                <w:szCs w:val="28"/>
              </w:rPr>
              <w:t>Время цикла пропаривания, час</w:t>
            </w:r>
          </w:p>
        </w:tc>
        <w:tc>
          <w:tcPr>
            <w:cnfStyle w:val="000000010000"/>
            <w:tcW w:w="3388" w:type="dxa"/>
          </w:tcPr>
          <w:p w14:paraId="0000076F">
            <w:pPr>
              <w:jc w:val="center"/>
              <w:rPr>
                <w:rFonts w:ascii="Times New Roman" w:cs="Times New Roman" w:hAnsi="Times New Roman"/>
                <w:sz w:val="28"/>
                <w:szCs w:val="28"/>
              </w:rPr>
            </w:pPr>
            <w:r>
              <w:rPr>
                <w:rFonts w:ascii="Times New Roman" w:cs="Times New Roman" w:hAnsi="Times New Roman"/>
                <w:sz w:val="28"/>
                <w:szCs w:val="28"/>
              </w:rPr>
              <w:t>12–24</w:t>
            </w:r>
          </w:p>
        </w:tc>
      </w:tr>
      <w:tr>
        <w:trPr/>
        <w:tc>
          <w:tcPr>
            <w:cnfStyle w:val="001000100000"/>
            <w:tcW w:w="5684" w:type="dxa"/>
          </w:tcPr>
          <w:p w14:paraId="00000770">
            <w:pPr>
              <w:jc w:val="both"/>
              <w:rPr>
                <w:rFonts w:ascii="Times New Roman" w:cs="Times New Roman" w:hAnsi="Times New Roman"/>
                <w:sz w:val="28"/>
                <w:szCs w:val="28"/>
              </w:rPr>
            </w:pPr>
            <w:r>
              <w:rPr>
                <w:rFonts w:ascii="Times New Roman" w:cs="Times New Roman" w:hAnsi="Times New Roman"/>
                <w:sz w:val="28"/>
                <w:szCs w:val="28"/>
              </w:rPr>
              <w:t>Потребляемая мощность, кВт</w:t>
            </w:r>
          </w:p>
        </w:tc>
        <w:tc>
          <w:tcPr>
            <w:cnfStyle w:val="000000100000"/>
            <w:tcW w:w="3388" w:type="dxa"/>
          </w:tcPr>
          <w:p w14:paraId="00000771">
            <w:pPr>
              <w:jc w:val="center"/>
              <w:rPr>
                <w:rFonts w:ascii="Times New Roman" w:cs="Times New Roman" w:hAnsi="Times New Roman"/>
                <w:sz w:val="28"/>
                <w:szCs w:val="28"/>
              </w:rPr>
            </w:pPr>
            <w:r>
              <w:rPr>
                <w:rFonts w:ascii="Times New Roman" w:cs="Times New Roman" w:hAnsi="Times New Roman"/>
                <w:sz w:val="28"/>
                <w:szCs w:val="28"/>
              </w:rPr>
              <w:t>40</w:t>
            </w:r>
          </w:p>
        </w:tc>
      </w:tr>
      <w:tr>
        <w:trPr/>
        <w:tc>
          <w:tcPr>
            <w:cnfStyle w:val="001000010000"/>
            <w:tcW w:w="5684" w:type="dxa"/>
          </w:tcPr>
          <w:p w14:paraId="00000772">
            <w:pPr>
              <w:jc w:val="both"/>
              <w:rPr>
                <w:rFonts w:ascii="Times New Roman" w:cs="Times New Roman" w:hAnsi="Times New Roman"/>
                <w:sz w:val="28"/>
                <w:szCs w:val="28"/>
              </w:rPr>
            </w:pPr>
            <w:r>
              <w:rPr>
                <w:rFonts w:ascii="Times New Roman" w:cs="Times New Roman" w:hAnsi="Times New Roman"/>
                <w:sz w:val="28"/>
                <w:szCs w:val="28"/>
              </w:rPr>
              <w:t>Тип нагрева</w:t>
            </w:r>
          </w:p>
        </w:tc>
        <w:tc>
          <w:tcPr>
            <w:cnfStyle w:val="000000010000"/>
            <w:tcW w:w="3388" w:type="dxa"/>
          </w:tcPr>
          <w:p w14:paraId="00000773">
            <w:pPr>
              <w:jc w:val="center"/>
              <w:rPr>
                <w:rFonts w:ascii="Times New Roman" w:cs="Times New Roman" w:hAnsi="Times New Roman"/>
                <w:sz w:val="28"/>
                <w:szCs w:val="28"/>
              </w:rPr>
            </w:pPr>
            <w:r>
              <w:rPr>
                <w:rFonts w:ascii="Times New Roman" w:cs="Times New Roman" w:hAnsi="Times New Roman"/>
                <w:sz w:val="28"/>
                <w:szCs w:val="28"/>
              </w:rPr>
              <w:t>электрический / паровой</w:t>
            </w:r>
          </w:p>
        </w:tc>
      </w:tr>
      <w:tr>
        <w:trPr/>
        <w:tc>
          <w:tcPr>
            <w:cnfStyle w:val="001000100000"/>
            <w:tcW w:w="5684" w:type="dxa"/>
          </w:tcPr>
          <w:p w14:paraId="00000774">
            <w:pPr>
              <w:jc w:val="both"/>
              <w:rPr>
                <w:rFonts w:ascii="Times New Roman" w:cs="Times New Roman" w:hAnsi="Times New Roman"/>
                <w:sz w:val="28"/>
                <w:szCs w:val="28"/>
              </w:rPr>
            </w:pPr>
            <w:r>
              <w:rPr>
                <w:rFonts w:ascii="Times New Roman" w:cs="Times New Roman" w:hAnsi="Times New Roman"/>
                <w:sz w:val="28"/>
                <w:szCs w:val="28"/>
              </w:rPr>
              <w:t>Материал корпуса</w:t>
            </w:r>
          </w:p>
        </w:tc>
        <w:tc>
          <w:tcPr>
            <w:cnfStyle w:val="000000100000"/>
            <w:tcW w:w="3388" w:type="dxa"/>
          </w:tcPr>
          <w:p w14:paraId="00000775">
            <w:pPr>
              <w:jc w:val="center"/>
              <w:rPr>
                <w:rFonts w:ascii="Times New Roman" w:cs="Times New Roman" w:hAnsi="Times New Roman"/>
                <w:sz w:val="28"/>
                <w:szCs w:val="28"/>
              </w:rPr>
            </w:pPr>
            <w:r>
              <w:rPr>
                <w:rFonts w:ascii="Times New Roman" w:cs="Times New Roman" w:hAnsi="Times New Roman"/>
                <w:sz w:val="28"/>
                <w:szCs w:val="28"/>
              </w:rPr>
              <w:t>сталь 3, толщина 4 мм</w:t>
            </w:r>
          </w:p>
        </w:tc>
      </w:tr>
      <w:tr>
        <w:trPr/>
        <w:tc>
          <w:tcPr>
            <w:cnfStyle w:val="001000010000"/>
            <w:tcW w:w="5684" w:type="dxa"/>
          </w:tcPr>
          <w:p w14:paraId="00000776">
            <w:pPr>
              <w:jc w:val="both"/>
              <w:rPr>
                <w:rFonts w:ascii="Times New Roman" w:cs="Times New Roman" w:hAnsi="Times New Roman"/>
                <w:sz w:val="28"/>
                <w:szCs w:val="28"/>
              </w:rPr>
            </w:pPr>
            <w:r>
              <w:rPr>
                <w:rFonts w:ascii="Times New Roman" w:cs="Times New Roman" w:hAnsi="Times New Roman"/>
                <w:sz w:val="28"/>
                <w:szCs w:val="28"/>
              </w:rPr>
              <w:t>Теплоизоляция</w:t>
            </w:r>
          </w:p>
        </w:tc>
        <w:tc>
          <w:tcPr>
            <w:cnfStyle w:val="000000010000"/>
            <w:tcW w:w="3388" w:type="dxa"/>
          </w:tcPr>
          <w:p w14:paraId="00000777">
            <w:pPr>
              <w:jc w:val="center"/>
              <w:rPr>
                <w:rFonts w:ascii="Times New Roman" w:cs="Times New Roman" w:hAnsi="Times New Roman"/>
                <w:sz w:val="28"/>
                <w:szCs w:val="28"/>
              </w:rPr>
            </w:pPr>
            <w:r>
              <w:rPr>
                <w:rFonts w:ascii="Times New Roman" w:cs="Times New Roman" w:hAnsi="Times New Roman"/>
                <w:sz w:val="28"/>
                <w:szCs w:val="28"/>
              </w:rPr>
              <w:t>минеральная вата, 100 мм</w:t>
            </w:r>
          </w:p>
        </w:tc>
      </w:tr>
      <w:tr>
        <w:trPr/>
        <w:tc>
          <w:tcPr>
            <w:cnfStyle w:val="001000100000"/>
            <w:tcW w:w="5684" w:type="dxa"/>
          </w:tcPr>
          <w:p w14:paraId="00000778">
            <w:pPr>
              <w:jc w:val="both"/>
              <w:rPr>
                <w:rFonts w:ascii="Times New Roman" w:cs="Times New Roman" w:hAnsi="Times New Roman"/>
                <w:sz w:val="28"/>
                <w:szCs w:val="28"/>
              </w:rPr>
            </w:pPr>
            <w:r>
              <w:rPr>
                <w:rFonts w:ascii="Times New Roman" w:cs="Times New Roman" w:hAnsi="Times New Roman"/>
                <w:sz w:val="28"/>
                <w:szCs w:val="28"/>
              </w:rPr>
              <w:t>Напряжение питания, В</w:t>
            </w:r>
          </w:p>
        </w:tc>
        <w:tc>
          <w:tcPr>
            <w:cnfStyle w:val="000000100000"/>
            <w:tcW w:w="3388" w:type="dxa"/>
          </w:tcPr>
          <w:p w14:paraId="00000779">
            <w:pPr>
              <w:jc w:val="center"/>
              <w:rPr>
                <w:rFonts w:ascii="Times New Roman" w:cs="Times New Roman" w:hAnsi="Times New Roman"/>
                <w:sz w:val="28"/>
                <w:szCs w:val="28"/>
              </w:rPr>
            </w:pPr>
            <w:r>
              <w:rPr>
                <w:rFonts w:ascii="Times New Roman" w:cs="Times New Roman" w:hAnsi="Times New Roman"/>
                <w:sz w:val="28"/>
                <w:szCs w:val="28"/>
              </w:rPr>
              <w:t>380</w:t>
            </w:r>
          </w:p>
        </w:tc>
      </w:tr>
    </w:tbl>
    <w:p w14:paraId="0000077A"/>
    <w:p w14:paraId="0000077B"/>
    <w:p w14:paraId="0000077C"/>
    <w:p w14:paraId="0000077D"/>
    <w:p w14:paraId="0000077E"/>
    <w:p w14:paraId="0000077F"/>
    <w:p w14:paraId="00000780"/>
    <w:p w14:paraId="00000781"/>
    <w:p w14:paraId="00000782"/>
    <w:p w14:paraId="00000783"/>
    <w:p w14:paraId="00000784"/>
    <w:p w14:paraId="00000785"/>
    <w:p w14:paraId="00000786"/>
    <w:p w14:paraId="00000787"/>
    <w:p w14:paraId="00000788"/>
    <w:p w14:paraId="00000789"/>
    <w:p w14:paraId="0000078A"/>
    <w:p w14:paraId="0000078B"/>
    <w:p w14:paraId="0000078C"/>
    <w:p w14:paraId="0000078D"/>
    <w:p w14:paraId="0000078E"/>
    <w:p w14:paraId="0000078F">
      <w:pPr>
        <w:pStyle w:val="Normal"/>
        <w:spacing w:beforeAutospacing="0" w:after="0" w:afterAutospacing="0"/>
        <w:ind w:right="0"/>
        <w:jc w:val="right"/>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И.о. ректора  Пензенского </w:t>
      </w:r>
    </w:p>
    <w:p w14:paraId="00000790">
      <w:pPr>
        <w:pStyle w:val="Normal"/>
        <w:spacing w:beforeAutospacing="0" w:after="0" w:afterAutospacing="0"/>
        <w:ind w:right="0"/>
        <w:jc w:val="right"/>
        <w:rPr>
          <w:rFonts w:ascii="Times New Roman" w:cs="Times New Roman" w:eastAsia="Times New Roman" w:hAnsi="Times New Roman"/>
          <w:sz w:val="28"/>
          <w:szCs w:val="28"/>
        </w:rPr>
      </w:pPr>
      <w:r>
        <w:rPr>
          <w:rFonts w:ascii="Times New Roman" w:cs="Times New Roman" w:eastAsia="Times New Roman" w:hAnsi="Times New Roman"/>
          <w:sz w:val="28"/>
          <w:szCs w:val="28"/>
        </w:rPr>
        <w:t>государственного университета</w:t>
      </w:r>
    </w:p>
    <w:p w14:paraId="00000791">
      <w:pPr>
        <w:pStyle w:val="Normal"/>
        <w:spacing w:beforeAutospacing="0" w:after="0" w:afterAutospacing="0"/>
        <w:jc w:val="right"/>
        <w:rPr>
          <w:rFonts w:ascii="Times New Roman" w:cs="Times New Roman" w:eastAsia="Times New Roman" w:hAnsi="Times New Roman"/>
          <w:sz w:val="28"/>
          <w:szCs w:val="28"/>
        </w:rPr>
      </w:pPr>
      <w:r>
        <w:rPr>
          <w:rFonts w:ascii="Times New Roman" w:cs="Times New Roman" w:eastAsia="Times New Roman" w:hAnsi="Times New Roman"/>
          <w:sz w:val="28"/>
          <w:szCs w:val="28"/>
        </w:rPr>
        <w:t>С.М. Васину</w:t>
      </w:r>
    </w:p>
    <w:p w14:paraId="00000792">
      <w:pPr>
        <w:pStyle w:val="Normal"/>
        <w:spacing w:beforeAutospacing="0" w:after="0" w:afterAutospacing="0"/>
        <w:jc w:val="right"/>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студента 4 курса </w:t>
      </w:r>
      <w:r>
        <w:rPr>
          <w:rFonts w:ascii="Times New Roman" w:cs="Times New Roman" w:eastAsia="Times New Roman" w:hAnsi="Times New Roman"/>
          <w:sz w:val="28"/>
          <w:szCs w:val="28"/>
        </w:rPr>
        <w:t>ИЭиУ</w:t>
      </w:r>
      <w:r>
        <w:rPr>
          <w:rFonts w:ascii="Times New Roman" w:cs="Times New Roman" w:eastAsia="Times New Roman" w:hAnsi="Times New Roman"/>
          <w:sz w:val="28"/>
          <w:szCs w:val="28"/>
        </w:rPr>
        <w:t xml:space="preserve"> очной формы обучения</w:t>
      </w:r>
    </w:p>
    <w:p w14:paraId="00000793">
      <w:pPr>
        <w:pStyle w:val="Normal"/>
        <w:spacing w:beforeAutospacing="0" w:after="0" w:afterAutospacing="0"/>
        <w:jc w:val="right"/>
        <w:rPr>
          <w:rFonts w:ascii="Times New Roman" w:cs="Times New Roman" w:eastAsia="Times New Roman" w:hAnsi="Times New Roman"/>
          <w:color w:val="c00000"/>
          <w:sz w:val="28"/>
          <w:szCs w:val="28"/>
        </w:rPr>
      </w:pPr>
      <w:r>
        <w:rPr>
          <w:rFonts w:ascii="Times New Roman" w:cs="Times New Roman" w:eastAsia="Times New Roman" w:hAnsi="Times New Roman"/>
          <w:sz w:val="28"/>
          <w:szCs w:val="28"/>
        </w:rPr>
        <w:t>Проскурнов</w:t>
      </w:r>
      <w:r>
        <w:rPr>
          <w:rFonts w:ascii="Times New Roman" w:cs="Times New Roman" w:eastAsia="Times New Roman" w:hAnsi="Times New Roman"/>
          <w:sz w:val="28"/>
          <w:szCs w:val="28"/>
        </w:rPr>
        <w:t xml:space="preserve">а </w:t>
      </w:r>
      <w:r>
        <w:rPr>
          <w:rFonts w:ascii="Times New Roman" w:cs="Times New Roman" w:eastAsia="Times New Roman" w:hAnsi="Times New Roman"/>
          <w:sz w:val="28"/>
          <w:szCs w:val="28"/>
        </w:rPr>
        <w:t>Никит</w:t>
      </w:r>
      <w:r>
        <w:rPr>
          <w:rFonts w:ascii="Times New Roman" w:cs="Times New Roman" w:eastAsia="Times New Roman" w:hAnsi="Times New Roman"/>
          <w:sz w:val="28"/>
          <w:szCs w:val="28"/>
        </w:rPr>
        <w:t xml:space="preserve">ы </w:t>
      </w:r>
      <w:r>
        <w:rPr>
          <w:rFonts w:ascii="Times New Roman" w:cs="Times New Roman" w:eastAsia="Times New Roman" w:hAnsi="Times New Roman"/>
          <w:sz w:val="28"/>
          <w:szCs w:val="28"/>
        </w:rPr>
        <w:t>Витальевич</w:t>
      </w:r>
      <w:r>
        <w:rPr>
          <w:rFonts w:ascii="Times New Roman" w:cs="Times New Roman" w:eastAsia="Times New Roman" w:hAnsi="Times New Roman"/>
          <w:sz w:val="28"/>
          <w:szCs w:val="28"/>
        </w:rPr>
        <w:t>а</w:t>
      </w:r>
    </w:p>
    <w:p w14:paraId="00000794">
      <w:pPr>
        <w:pStyle w:val="Normal"/>
        <w:spacing w:beforeAutospacing="0" w:after="0" w:afterAutospacing="0"/>
        <w:jc w:val="right"/>
        <w:rPr>
          <w:rFonts w:ascii="Times New Roman" w:cs="Times New Roman" w:eastAsia="Times New Roman" w:hAnsi="Times New Roman"/>
          <w:color w:val="c00000"/>
          <w:sz w:val="28"/>
          <w:szCs w:val="28"/>
        </w:rPr>
      </w:pPr>
    </w:p>
    <w:p w14:paraId="00000795">
      <w:pPr>
        <w:pStyle w:val="Normal"/>
        <w:spacing w:beforeAutospacing="0" w:after="0" w:afterAutospacing="0"/>
        <w:jc w:val="center"/>
        <w:rPr>
          <w:rFonts w:ascii="Times New Roman" w:cs="Times New Roman" w:eastAsia="Times New Roman" w:hAnsi="Times New Roman"/>
          <w:sz w:val="28"/>
          <w:szCs w:val="28"/>
        </w:rPr>
      </w:pPr>
    </w:p>
    <w:p w14:paraId="00000796">
      <w:pPr>
        <w:pStyle w:val="Normal"/>
        <w:spacing w:beforeAutospacing="0" w:after="0" w:afterAutospacing="0"/>
        <w:jc w:val="center"/>
        <w:rPr>
          <w:rFonts w:ascii="Times New Roman" w:cs="Times New Roman" w:eastAsia="Times New Roman" w:hAnsi="Times New Roman"/>
          <w:sz w:val="28"/>
          <w:szCs w:val="28"/>
        </w:rPr>
      </w:pPr>
    </w:p>
    <w:p w14:paraId="00000797">
      <w:pPr>
        <w:pStyle w:val="Normal"/>
        <w:spacing w:beforeAutospacing="0" w:after="0" w:afterAutospacing="0"/>
        <w:jc w:val="center"/>
        <w:rPr>
          <w:rFonts w:ascii="Times New Roman" w:cs="Times New Roman" w:eastAsia="Times New Roman" w:hAnsi="Times New Roman"/>
          <w:sz w:val="28"/>
          <w:szCs w:val="28"/>
        </w:rPr>
      </w:pPr>
    </w:p>
    <w:p w14:paraId="00000798">
      <w:pPr>
        <w:pStyle w:val="Normal"/>
        <w:spacing w:beforeAutospacing="0" w:after="0" w:afterAutospacing="0"/>
        <w:jc w:val="center"/>
        <w:rPr>
          <w:rFonts w:ascii="Times New Roman" w:cs="Times New Roman" w:eastAsia="Times New Roman" w:hAnsi="Times New Roman"/>
          <w:sz w:val="28"/>
          <w:szCs w:val="28"/>
        </w:rPr>
      </w:pPr>
      <w:r>
        <w:rPr>
          <w:rFonts w:ascii="Times New Roman" w:cs="Times New Roman" w:eastAsia="Times New Roman" w:hAnsi="Times New Roman"/>
          <w:sz w:val="28"/>
          <w:szCs w:val="28"/>
        </w:rPr>
        <w:t>ЗАЯВЛЕНИЕ</w:t>
      </w:r>
    </w:p>
    <w:p w14:paraId="00000799">
      <w:pPr>
        <w:pStyle w:val="Normal"/>
        <w:spacing w:beforeAutospacing="0" w:after="0" w:afterAutospacing="0" w:line="360" w:lineRule="auto"/>
        <w:ind w:firstLine="709"/>
        <w:jc w:val="both"/>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Я, </w:t>
      </w:r>
      <w:r>
        <w:rPr>
          <w:rFonts w:ascii="Times New Roman" w:cs="Times New Roman" w:eastAsia="Times New Roman" w:hAnsi="Times New Roman"/>
          <w:sz w:val="28"/>
          <w:szCs w:val="28"/>
        </w:rPr>
        <w:t>Проскурнов</w:t>
      </w:r>
      <w:r>
        <w:rPr>
          <w:rFonts w:ascii="Times New Roman" w:cs="Times New Roman" w:eastAsia="Times New Roman" w:hAnsi="Times New Roman"/>
          <w:sz w:val="28"/>
          <w:szCs w:val="28"/>
        </w:rPr>
        <w:t xml:space="preserve"> Никит</w:t>
      </w:r>
      <w:r>
        <w:rPr>
          <w:rFonts w:ascii="Times New Roman" w:cs="Times New Roman" w:eastAsia="Times New Roman" w:hAnsi="Times New Roman"/>
          <w:sz w:val="28"/>
          <w:szCs w:val="28"/>
        </w:rPr>
        <w:t xml:space="preserve">а </w:t>
      </w:r>
      <w:r>
        <w:rPr>
          <w:rFonts w:ascii="Times New Roman" w:cs="Times New Roman" w:eastAsia="Times New Roman" w:hAnsi="Times New Roman"/>
          <w:sz w:val="28"/>
          <w:szCs w:val="28"/>
        </w:rPr>
        <w:t>Витальевич</w:t>
      </w:r>
      <w:r>
        <w:rPr>
          <w:rFonts w:ascii="Times New Roman" w:cs="Times New Roman" w:eastAsia="Times New Roman" w:hAnsi="Times New Roman"/>
          <w:sz w:val="28"/>
          <w:szCs w:val="28"/>
        </w:rPr>
        <w:t>, студент 4 курса очной формы обучения направления подготовки 38.03.02 Менеджмент, прошу провести проверку с использованием системы «</w:t>
      </w:r>
      <w:r>
        <w:rPr>
          <w:rFonts w:ascii="Times New Roman" w:cs="Times New Roman" w:eastAsia="Times New Roman" w:hAnsi="Times New Roman"/>
          <w:sz w:val="28"/>
          <w:szCs w:val="28"/>
        </w:rPr>
        <w:t>Антиплагиат</w:t>
      </w:r>
      <w:r>
        <w:rPr>
          <w:rFonts w:ascii="Times New Roman" w:cs="Times New Roman" w:eastAsia="Times New Roman" w:hAnsi="Times New Roman"/>
          <w:sz w:val="28"/>
          <w:szCs w:val="28"/>
        </w:rPr>
        <w:t>.В</w:t>
      </w:r>
      <w:r>
        <w:rPr>
          <w:rFonts w:ascii="Times New Roman" w:cs="Times New Roman" w:eastAsia="Times New Roman" w:hAnsi="Times New Roman"/>
          <w:sz w:val="28"/>
          <w:szCs w:val="28"/>
        </w:rPr>
        <w:t>УЗ</w:t>
      </w:r>
      <w:r>
        <w:rPr>
          <w:rFonts w:ascii="Times New Roman" w:cs="Times New Roman" w:eastAsia="Times New Roman" w:hAnsi="Times New Roman"/>
          <w:sz w:val="28"/>
          <w:szCs w:val="28"/>
        </w:rPr>
        <w:t>» бакалаврской работы на тему «</w:t>
      </w:r>
      <w:r>
        <w:rPr>
          <w:rFonts w:ascii="Times New Roman" w:cs="Times New Roman" w:eastAsia="Times New Roman" w:hAnsi="Times New Roman"/>
          <w:bCs/>
          <w:sz w:val="28"/>
          <w:szCs w:val="28"/>
        </w:rPr>
        <w:t xml:space="preserve">Разработка бизнес-плана создания предприятия по производству </w:t>
      </w:r>
      <w:r>
        <w:rPr>
          <w:rFonts w:ascii="Times New Roman" w:cs="Times New Roman" w:eastAsia="Times New Roman" w:hAnsi="Times New Roman"/>
          <w:bCs/>
          <w:sz w:val="28"/>
          <w:szCs w:val="28"/>
        </w:rPr>
        <w:t>гиперпрессованного</w:t>
      </w:r>
      <w:r>
        <w:rPr>
          <w:rFonts w:ascii="Times New Roman" w:cs="Times New Roman" w:eastAsia="Times New Roman" w:hAnsi="Times New Roman"/>
          <w:bCs/>
          <w:sz w:val="28"/>
          <w:szCs w:val="28"/>
        </w:rPr>
        <w:t xml:space="preserve"> кирпича</w:t>
      </w:r>
      <w:r>
        <w:rPr>
          <w:rFonts w:ascii="Times New Roman" w:cs="Times New Roman" w:eastAsia="Times New Roman" w:hAnsi="Times New Roman"/>
          <w:sz w:val="28"/>
          <w:szCs w:val="28"/>
        </w:rPr>
        <w:t>», выполненной мной самостоятельно, на содержание элементов плагиата.</w:t>
      </w:r>
    </w:p>
    <w:p w14:paraId="0000079A">
      <w:pPr>
        <w:pStyle w:val="Normal"/>
        <w:spacing w:beforeAutospacing="0" w:after="0" w:afterAutospacing="0" w:line="360" w:lineRule="auto"/>
        <w:ind w:firstLine="709"/>
        <w:jc w:val="both"/>
        <w:rPr>
          <w:rFonts w:ascii="Times New Roman" w:cs="Times New Roman" w:eastAsia="Times New Roman" w:hAnsi="Times New Roman"/>
          <w:sz w:val="28"/>
          <w:szCs w:val="28"/>
        </w:rPr>
      </w:pPr>
      <w:r>
        <w:rPr>
          <w:rFonts w:ascii="Times New Roman" w:cs="Times New Roman" w:eastAsia="Times New Roman" w:hAnsi="Times New Roman"/>
          <w:sz w:val="28"/>
          <w:szCs w:val="28"/>
        </w:rPr>
        <w:t>Все прямые заимствования из печатных и электронных источников, а также из защищенных ранее выпускных квалификационных работ, кандидатских и докторских диссертаций имеют соответствующие ссылки.</w:t>
      </w:r>
    </w:p>
    <w:p w14:paraId="0000079B">
      <w:pPr>
        <w:pStyle w:val="Normal"/>
        <w:spacing w:beforeAutospacing="0" w:after="0" w:afterAutospacing="0" w:line="360" w:lineRule="auto"/>
        <w:ind w:firstLine="709"/>
        <w:jc w:val="both"/>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Я ознакомлен с действующим Стандартом университета «Выпускная квалификационная работа </w:t>
      </w:r>
      <w:r>
        <w:rPr>
          <w:rFonts w:ascii="Times New Roman" w:cs="Times New Roman" w:eastAsia="Times New Roman" w:hAnsi="Times New Roman"/>
          <w:sz w:val="28"/>
          <w:szCs w:val="28"/>
        </w:rPr>
        <w:t>обучающихся</w:t>
      </w:r>
      <w:r>
        <w:rPr>
          <w:rFonts w:ascii="Times New Roman" w:cs="Times New Roman" w:eastAsia="Times New Roman" w:hAnsi="Times New Roman"/>
          <w:sz w:val="28"/>
          <w:szCs w:val="28"/>
        </w:rPr>
        <w:t xml:space="preserve"> по образовательным программам высшего образования – программам </w:t>
      </w:r>
      <w:r>
        <w:rPr>
          <w:rFonts w:ascii="Times New Roman" w:cs="Times New Roman" w:eastAsia="Times New Roman" w:hAnsi="Times New Roman"/>
          <w:sz w:val="28"/>
          <w:szCs w:val="28"/>
        </w:rPr>
        <w:t>бакалавриата</w:t>
      </w:r>
      <w:r>
        <w:rPr>
          <w:rFonts w:ascii="Times New Roman" w:cs="Times New Roman" w:eastAsia="Times New Roman" w:hAnsi="Times New Roman"/>
          <w:sz w:val="28"/>
          <w:szCs w:val="28"/>
        </w:rPr>
        <w:t xml:space="preserve">, программам </w:t>
      </w:r>
      <w:r>
        <w:rPr>
          <w:rFonts w:ascii="Times New Roman" w:cs="Times New Roman" w:eastAsia="Times New Roman" w:hAnsi="Times New Roman"/>
          <w:sz w:val="28"/>
          <w:szCs w:val="28"/>
        </w:rPr>
        <w:t>специалитета</w:t>
      </w:r>
      <w:r>
        <w:rPr>
          <w:rFonts w:ascii="Times New Roman" w:cs="Times New Roman" w:eastAsia="Times New Roman" w:hAnsi="Times New Roman"/>
          <w:sz w:val="28"/>
          <w:szCs w:val="28"/>
        </w:rPr>
        <w:t xml:space="preserve"> и программам магистратуры», согласно которому обнаружение плагиата является основанием для </w:t>
      </w:r>
      <w:r>
        <w:rPr>
          <w:rFonts w:ascii="Times New Roman" w:cs="Times New Roman" w:eastAsia="Times New Roman" w:hAnsi="Times New Roman"/>
          <w:sz w:val="28"/>
          <w:szCs w:val="28"/>
        </w:rPr>
        <w:t>недопуска</w:t>
      </w:r>
      <w:r>
        <w:rPr>
          <w:rFonts w:ascii="Times New Roman" w:cs="Times New Roman" w:eastAsia="Times New Roman" w:hAnsi="Times New Roman"/>
          <w:sz w:val="28"/>
          <w:szCs w:val="28"/>
        </w:rPr>
        <w:t xml:space="preserve"> ВКР к защите и отчисления из университета.</w:t>
      </w:r>
    </w:p>
    <w:p w14:paraId="0000079C">
      <w:pPr>
        <w:pStyle w:val="Normal"/>
        <w:spacing w:beforeAutospacing="0" w:after="200" w:afterAutospacing="0"/>
        <w:jc w:val="right"/>
        <w:rPr>
          <w:rFonts w:ascii="Times New Roman" w:cs="Times New Roman" w:eastAsia="Times New Roman" w:hAnsi="Times New Roman"/>
          <w:sz w:val="28"/>
          <w:szCs w:val="28"/>
        </w:rPr>
      </w:pPr>
    </w:p>
    <w:p w14:paraId="0000079D">
      <w:pPr>
        <w:pStyle w:val="Normal"/>
        <w:spacing w:beforeAutospacing="0" w:after="200" w:afterAutospacing="0"/>
        <w:jc w:val="right"/>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____________ </w:t>
      </w:r>
      <w:r>
        <w:rPr>
          <w:rFonts w:ascii="Times New Roman" w:cs="Times New Roman" w:eastAsia="Times New Roman" w:hAnsi="Times New Roman"/>
          <w:sz w:val="28"/>
          <w:szCs w:val="28"/>
        </w:rPr>
        <w:t>Н.В. Проскурнов</w:t>
      </w:r>
    </w:p>
    <w:p w14:paraId="0000079E">
      <w:pPr>
        <w:pStyle w:val="Normal"/>
        <w:spacing w:beforeAutospacing="0" w:after="200" w:afterAutospacing="0"/>
        <w:jc w:val="right"/>
        <w:rPr>
          <w:rFonts w:ascii="Times New Roman" w:cs="Times New Roman" w:eastAsia="Times New Roman" w:hAnsi="Times New Roman"/>
          <w:sz w:val="28"/>
          <w:szCs w:val="28"/>
        </w:rPr>
      </w:pPr>
      <w:r>
        <w:rPr>
          <w:rFonts w:ascii="Times New Roman" w:cs="Times New Roman" w:eastAsia="Times New Roman" w:hAnsi="Times New Roman"/>
          <w:sz w:val="28"/>
          <w:szCs w:val="28"/>
        </w:rPr>
        <w:t>06.06.2026 г.</w:t>
      </w:r>
    </w:p>
    <w:p w14:paraId="0000079F">
      <w:pPr>
        <w:pStyle w:val="Normal"/>
        <w:spacing w:beforeAutospacing="0" w:after="200" w:afterAutospacing="0"/>
        <w:rPr>
          <w:rFonts w:ascii="Times New Roman" w:cs="Times New Roman" w:eastAsia="Times New Roman" w:hAnsi="Times New Roman"/>
          <w:sz w:val="28"/>
          <w:szCs w:val="28"/>
        </w:rPr>
      </w:pPr>
    </w:p>
    <w:p w14:paraId="000007A0">
      <w:pPr>
        <w:pStyle w:val="Normal"/>
        <w:spacing w:beforeAutospacing="0" w:after="200" w:afterAutospacing="0"/>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ВКР </w:t>
      </w:r>
      <w:r>
        <w:rPr>
          <w:rFonts w:ascii="Times New Roman" w:cs="Times New Roman" w:eastAsia="Times New Roman" w:hAnsi="Times New Roman"/>
          <w:sz w:val="28"/>
          <w:szCs w:val="28"/>
        </w:rPr>
        <w:t>представлена</w:t>
      </w:r>
      <w:r>
        <w:rPr>
          <w:rFonts w:ascii="Times New Roman" w:cs="Times New Roman" w:eastAsia="Times New Roman" w:hAnsi="Times New Roman"/>
          <w:sz w:val="28"/>
          <w:szCs w:val="28"/>
        </w:rPr>
        <w:t xml:space="preserve"> на проверку </w:t>
      </w:r>
      <w:r>
        <w:rPr>
          <w:rFonts w:ascii="Times New Roman" w:cs="Times New Roman" w:eastAsia="Times New Roman" w:hAnsi="Times New Roman"/>
          <w:sz w:val="28"/>
          <w:szCs w:val="28"/>
        </w:rPr>
        <w:t>06</w:t>
      </w:r>
      <w:r>
        <w:rPr>
          <w:rFonts w:ascii="Times New Roman" w:cs="Times New Roman" w:eastAsia="Times New Roman" w:hAnsi="Times New Roman"/>
          <w:sz w:val="28"/>
          <w:szCs w:val="28"/>
        </w:rPr>
        <w:t>.</w:t>
      </w:r>
      <w:r>
        <w:rPr>
          <w:rFonts w:ascii="Times New Roman" w:cs="Times New Roman" w:eastAsia="Times New Roman" w:hAnsi="Times New Roman"/>
          <w:sz w:val="28"/>
          <w:szCs w:val="28"/>
        </w:rPr>
        <w:t>06</w:t>
      </w:r>
      <w:r>
        <w:rPr>
          <w:rFonts w:ascii="Times New Roman" w:cs="Times New Roman" w:eastAsia="Times New Roman" w:hAnsi="Times New Roman"/>
          <w:sz w:val="28"/>
          <w:szCs w:val="28"/>
        </w:rPr>
        <w:t xml:space="preserve">.2026 г. </w:t>
      </w:r>
    </w:p>
    <w:p w14:paraId="000007A1">
      <w:pPr>
        <w:pStyle w:val="Normal"/>
        <w:spacing w:beforeAutospacing="0" w:after="200" w:afterAutospacing="0"/>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Руководитель ВКР___________ </w:t>
      </w:r>
      <w:r>
        <w:rPr>
          <w:rFonts w:ascii="Times New Roman" w:cs="Times New Roman" w:eastAsia="Times New Roman" w:hAnsi="Times New Roman"/>
          <w:sz w:val="28"/>
          <w:szCs w:val="28"/>
        </w:rPr>
        <w:t>И</w:t>
      </w:r>
      <w:r>
        <w:rPr>
          <w:rFonts w:ascii="Times New Roman" w:cs="Times New Roman" w:eastAsia="Times New Roman" w:hAnsi="Times New Roman"/>
          <w:sz w:val="28"/>
          <w:szCs w:val="28"/>
        </w:rPr>
        <w:t>.</w:t>
      </w:r>
      <w:r>
        <w:rPr>
          <w:rFonts w:ascii="Times New Roman" w:cs="Times New Roman" w:eastAsia="Times New Roman" w:hAnsi="Times New Roman"/>
          <w:sz w:val="28"/>
          <w:szCs w:val="28"/>
        </w:rPr>
        <w:t>Г</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Ищенко</w:t>
      </w:r>
    </w:p>
    <w:p w14:paraId="000007A2">
      <w:pPr>
        <w:pStyle w:val="Normal"/>
        <w:spacing w:beforeAutospacing="0" w:after="200" w:afterAutospacing="0"/>
        <w:rPr>
          <w:rFonts w:ascii="Times New Roman" w:cs="Times New Roman" w:eastAsia="Times New Roman" w:hAnsi="Times New Roman"/>
          <w:sz w:val="28"/>
          <w:szCs w:val="28"/>
        </w:rPr>
      </w:pPr>
    </w:p>
    <w:p w14:paraId="000007A3">
      <w:pPr>
        <w:pBdr>
          <w:top w:val="nil" w:sz="4" w:space="0"/>
          <w:left w:val="nil" w:sz="4" w:space="0"/>
          <w:bottom w:val="nil" w:sz="4" w:space="0"/>
          <w:right w:val="nil" w:sz="4" w:space="0"/>
          <w:between w:val="nil" w:sz="4" w:space="0"/>
        </w:pBdr>
        <w:spacing w:beforeAutospacing="0" w:after="0" w:afterAutospacing="0" w:line="240" w:lineRule="auto"/>
        <w:ind w:left="1" w:hanging="3"/>
        <w:jc w:val="center"/>
        <w:rPr>
          <w:rFonts w:ascii="Times New Roman" w:cs="Times New Roman" w:eastAsia="Times New Roman" w:hAnsi="Times New Roman"/>
          <w:color w:val="000000"/>
          <w:sz w:val="28"/>
          <w:szCs w:val="28"/>
        </w:rPr>
      </w:pPr>
      <w:r>
        <w:rPr>
          <w:rFonts w:ascii="Times New Roman" w:cs="Times New Roman" w:eastAsia="Times New Roman" w:hAnsi="Times New Roman"/>
          <w:b/>
          <w:color w:val="000000"/>
          <w:sz w:val="28"/>
          <w:szCs w:val="28"/>
        </w:rPr>
        <w:t xml:space="preserve">Протокол </w:t>
      </w:r>
    </w:p>
    <w:p w14:paraId="000007A4">
      <w:pPr>
        <w:pBdr>
          <w:top w:val="nil" w:sz="4" w:space="0"/>
          <w:left w:val="nil" w:sz="4" w:space="0"/>
          <w:bottom w:val="nil" w:sz="4" w:space="0"/>
          <w:right w:val="nil" w:sz="4" w:space="0"/>
          <w:between w:val="nil" w:sz="4" w:space="0"/>
        </w:pBdr>
        <w:spacing w:before="360" w:beforeAutospacing="0" w:after="0" w:afterAutospacing="0" w:line="360" w:lineRule="auto"/>
        <w:ind w:left="1" w:hanging="3"/>
        <w:jc w:val="both"/>
        <w:rPr>
          <w:rFonts w:ascii="Times New Roman" w:cs="Times New Roman" w:eastAsia="Times New Roman" w:hAnsi="Times New Roman"/>
          <w:color w:val="c00000"/>
          <w:sz w:val="28"/>
          <w:szCs w:val="28"/>
        </w:rPr>
      </w:pPr>
      <w:r>
        <w:rPr>
          <w:rFonts w:ascii="Times New Roman" w:cs="Times New Roman" w:eastAsia="Times New Roman" w:hAnsi="Times New Roman"/>
          <w:color w:val="000000"/>
          <w:sz w:val="28"/>
          <w:szCs w:val="28"/>
        </w:rPr>
        <w:t>проверки на оригинальность в системе «</w:t>
      </w:r>
      <w:r>
        <w:rPr>
          <w:rFonts w:ascii="Times New Roman" w:cs="Times New Roman" w:eastAsia="Times New Roman" w:hAnsi="Times New Roman"/>
          <w:color w:val="000000"/>
          <w:sz w:val="28"/>
          <w:szCs w:val="28"/>
        </w:rPr>
        <w:t>Антиплагиат.ВУЗ</w:t>
      </w:r>
      <w:r>
        <w:rPr>
          <w:rFonts w:ascii="Times New Roman" w:cs="Times New Roman" w:eastAsia="Times New Roman" w:hAnsi="Times New Roman"/>
          <w:color w:val="000000"/>
          <w:sz w:val="28"/>
          <w:szCs w:val="28"/>
        </w:rPr>
        <w:t>»</w:t>
      </w:r>
      <w:r>
        <w:rPr>
          <w:rFonts w:ascii="Times New Roman" w:cs="Times New Roman" w:eastAsia="Times New Roman" w:hAnsi="Times New Roman"/>
          <w:color w:val="000000"/>
          <w:sz w:val="28"/>
          <w:szCs w:val="28"/>
        </w:rPr>
        <w:t xml:space="preserve"> </w:t>
      </w:r>
      <w:r>
        <w:rPr>
          <w:rFonts w:ascii="Times New Roman" w:cs="Times New Roman" w:eastAsia="Times New Roman" w:hAnsi="Times New Roman"/>
          <w:color w:val="000000"/>
          <w:sz w:val="28"/>
          <w:szCs w:val="28"/>
        </w:rPr>
        <w:t xml:space="preserve">выпускной квалификационной работы на тему </w:t>
      </w:r>
      <w:r>
        <w:rPr>
          <w:rFonts w:ascii="Times New Roman" w:cs="Times New Roman" w:eastAsia="Times New Roman" w:hAnsi="Times New Roman"/>
          <w:sz w:val="28"/>
          <w:szCs w:val="28"/>
        </w:rPr>
        <w:t>«</w:t>
      </w:r>
      <w:r>
        <w:rPr>
          <w:rFonts w:ascii="Times New Roman" w:cs="Times New Roman" w:eastAsia="Times New Roman" w:hAnsi="Times New Roman"/>
          <w:bCs/>
          <w:sz w:val="28"/>
          <w:szCs w:val="28"/>
        </w:rPr>
        <w:t xml:space="preserve">Разработка бизнес-плана создания предприятия по производству </w:t>
      </w:r>
      <w:r>
        <w:rPr>
          <w:rFonts w:ascii="Times New Roman" w:cs="Times New Roman" w:eastAsia="Times New Roman" w:hAnsi="Times New Roman"/>
          <w:bCs/>
          <w:sz w:val="28"/>
          <w:szCs w:val="28"/>
        </w:rPr>
        <w:t>гиперпрессованного</w:t>
      </w:r>
      <w:r>
        <w:rPr>
          <w:rFonts w:ascii="Times New Roman" w:cs="Times New Roman" w:eastAsia="Times New Roman" w:hAnsi="Times New Roman"/>
          <w:bCs/>
          <w:sz w:val="28"/>
          <w:szCs w:val="28"/>
        </w:rPr>
        <w:t xml:space="preserve"> кирпича</w:t>
      </w:r>
      <w:r>
        <w:rPr>
          <w:rFonts w:ascii="Times New Roman" w:cs="Times New Roman" w:eastAsia="Times New Roman" w:hAnsi="Times New Roman"/>
          <w:sz w:val="28"/>
          <w:szCs w:val="28"/>
        </w:rPr>
        <w:t>»</w:t>
      </w:r>
      <w:r>
        <w:rPr>
          <w:rFonts w:ascii="Times New Roman" w:cs="Times New Roman" w:eastAsia="Times New Roman" w:hAnsi="Times New Roman"/>
          <w:color w:val="000000"/>
          <w:sz w:val="28"/>
          <w:szCs w:val="28"/>
        </w:rPr>
        <w:t xml:space="preserve"> </w:t>
      </w:r>
      <w:r>
        <w:rPr>
          <w:rFonts w:ascii="Times New Roman" w:cs="Times New Roman" w:eastAsia="Times New Roman" w:hAnsi="Times New Roman"/>
          <w:color w:val="000000"/>
          <w:sz w:val="28"/>
          <w:szCs w:val="28"/>
        </w:rPr>
        <w:t>студента</w:t>
      </w:r>
      <w:r>
        <w:rPr>
          <w:rFonts w:ascii="Times New Roman" w:cs="Times New Roman" w:eastAsia="Times New Roman" w:hAnsi="Times New Roman"/>
          <w:sz w:val="28"/>
          <w:szCs w:val="28"/>
          <w:highlight w:val="white"/>
        </w:rPr>
        <w:t xml:space="preserve"> 4 курса </w:t>
      </w:r>
      <w:r>
        <w:rPr>
          <w:rFonts w:ascii="Times New Roman" w:cs="Times New Roman" w:eastAsia="Times New Roman" w:hAnsi="Times New Roman"/>
          <w:sz w:val="28"/>
          <w:szCs w:val="28"/>
          <w:highlight w:val="white"/>
        </w:rPr>
        <w:t xml:space="preserve">Проскурнова Н.В. </w:t>
      </w:r>
      <w:r>
        <w:rPr>
          <w:rFonts w:ascii="Times New Roman" w:cs="Times New Roman" w:eastAsia="Times New Roman" w:hAnsi="Times New Roman"/>
          <w:sz w:val="28"/>
          <w:szCs w:val="28"/>
          <w:highlight w:val="white"/>
        </w:rPr>
        <w:t>направления подготовки 38.03.02 «Менеджмент»</w:t>
      </w:r>
      <w:r>
        <w:rPr>
          <w:rFonts w:ascii="Times New Roman" w:cs="Times New Roman" w:eastAsia="Times New Roman" w:hAnsi="Times New Roman"/>
          <w:sz w:val="28"/>
          <w:szCs w:val="28"/>
        </w:rPr>
        <w:t>.</w:t>
      </w:r>
    </w:p>
    <w:p w14:paraId="000007A5">
      <w:pPr>
        <w:pStyle w:val="Default"/>
        <w:spacing w:beforeAutospacing="0" w:afterAutospacing="0" w:line="360" w:lineRule="auto"/>
        <w:ind w:left="1" w:hanging="3"/>
        <w:jc w:val="both"/>
        <w:rPr>
          <w:color w:val="auto"/>
          <w:sz w:val="28"/>
          <w:szCs w:val="28"/>
        </w:rPr>
      </w:pPr>
      <w:r>
        <w:rPr>
          <w:color w:val="auto"/>
          <w:sz w:val="28"/>
          <w:szCs w:val="28"/>
        </w:rPr>
        <w:drawing xmlns:mc="http://schemas.openxmlformats.org/markup-compatibility/2006">
          <wp:inline distT="114300" distB="114300" distL="114300" distR="114300">
            <wp:extent cx="5943600" cy="4574540"/>
            <wp:effectExtent l="0" t="0" r="0" b="0"/>
            <wp:docPr id="20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9"/>
                    <pic:cNvPicPr>
                      <a:picLocks noGrp="0" noSelect="0" noChangeAspect="1" noMove="0"/>
                    </pic:cNvPicPr>
                  </pic:nvPicPr>
                  <pic:blipFill>
                    <a:blip r:embed="rId69"/>
                    <a:srcRect/>
                    <a:stretch>
                      <a:fillRect/>
                    </a:stretch>
                  </pic:blipFill>
                  <pic:spPr>
                    <a:xfrm>
                      <a:off x="0" y="0"/>
                      <a:ext cx="5943600" cy="4574540"/>
                    </a:xfrm>
                    <a:prstGeom prst="rect">
                      <a:avLst/>
                    </a:prstGeom>
                  </pic:spPr>
                </pic:pic>
              </a:graphicData>
            </a:graphic>
          </wp:inline>
        </w:drawing>
      </w:r>
    </w:p>
    <w:p w14:paraId="000007A6">
      <w:pPr>
        <w:pStyle w:val="Default"/>
        <w:spacing w:beforeAutospacing="0" w:afterAutospacing="0" w:line="360" w:lineRule="auto"/>
        <w:ind w:left="1" w:hanging="3"/>
        <w:jc w:val="both"/>
        <w:rPr>
          <w:color w:val="auto"/>
          <w:sz w:val="28"/>
          <w:szCs w:val="28"/>
        </w:rPr>
      </w:pPr>
    </w:p>
    <w:p w14:paraId="000007A7">
      <w:pPr>
        <w:pStyle w:val="Default"/>
        <w:spacing w:beforeAutospacing="0" w:afterAutospacing="0" w:line="360" w:lineRule="auto"/>
        <w:ind w:left="1" w:hanging="3"/>
        <w:jc w:val="both"/>
        <w:rPr>
          <w:color w:val="auto"/>
          <w:sz w:val="28"/>
          <w:szCs w:val="28"/>
        </w:rPr>
      </w:pPr>
    </w:p>
    <w:p w14:paraId="000007A8">
      <w:pPr>
        <w:pStyle w:val="Default"/>
        <w:spacing w:beforeAutospacing="0" w:after="0" w:afterAutospacing="0" w:line="360" w:lineRule="auto"/>
        <w:ind w:left="1" w:hanging="3"/>
        <w:jc w:val="both"/>
        <w:rPr>
          <w:color w:val="auto"/>
          <w:sz w:val="28"/>
          <w:szCs w:val="28"/>
        </w:rPr>
      </w:pPr>
    </w:p>
    <w:p w14:paraId="000007A9">
      <w:pPr>
        <w:pStyle w:val="Default"/>
        <w:spacing w:beforeAutospacing="0" w:after="0" w:afterAutospacing="0" w:line="360" w:lineRule="auto"/>
        <w:ind w:left="1" w:hanging="3"/>
        <w:jc w:val="both"/>
        <w:rPr>
          <w:color w:val="auto"/>
          <w:sz w:val="28"/>
          <w:szCs w:val="28"/>
          <w:u w:val="single"/>
        </w:rPr>
      </w:pPr>
      <w:r>
        <w:rPr>
          <w:color w:val="auto"/>
          <w:sz w:val="28"/>
          <w:szCs w:val="28"/>
        </w:rPr>
        <w:t xml:space="preserve">Руководитель </w:t>
      </w:r>
      <w:r>
        <w:rPr>
          <w:color w:val="auto"/>
          <w:sz w:val="28"/>
          <w:szCs w:val="28"/>
        </w:rPr>
        <w:t>В</w:t>
      </w:r>
      <w:r>
        <w:rPr>
          <w:color w:val="auto"/>
          <w:sz w:val="28"/>
          <w:szCs w:val="28"/>
        </w:rPr>
        <w:t>КР</w:t>
      </w:r>
      <w:r>
        <w:rPr>
          <w:color w:val="auto"/>
          <w:sz w:val="28"/>
          <w:szCs w:val="28"/>
        </w:rPr>
        <w:t>:</w:t>
      </w:r>
      <w:r>
        <w:rPr>
          <w:color w:val="auto"/>
          <w:sz w:val="28"/>
          <w:szCs w:val="28"/>
        </w:rPr>
        <w:t xml:space="preserve"> </w:t>
      </w:r>
      <w:r>
        <w:rPr>
          <w:color w:val="auto"/>
          <w:sz w:val="28"/>
          <w:szCs w:val="28"/>
          <w:u w:val="single"/>
        </w:rPr>
        <w:t xml:space="preserve">к.с.н., доцент кафедры «Менеджмент и государственное управление» </w:t>
      </w:r>
      <w:r>
        <w:rPr>
          <w:color w:val="auto"/>
          <w:sz w:val="28"/>
          <w:szCs w:val="28"/>
          <w:u w:val="single"/>
        </w:rPr>
        <w:t>И.Г. Ищенко</w:t>
      </w:r>
      <w:r>
        <w:rPr>
          <w:color w:val="auto"/>
          <w:sz w:val="28"/>
          <w:szCs w:val="28"/>
          <w:u w:val="single"/>
        </w:rPr>
        <w:t>.</w:t>
      </w:r>
    </w:p>
    <w:p w14:paraId="000007AA">
      <w:pPr>
        <w:pStyle w:val="Default"/>
        <w:spacing w:beforeAutospacing="0" w:afterAutospacing="0" w:line="360" w:lineRule="auto"/>
        <w:ind w:left="1" w:hanging="3"/>
        <w:jc w:val="both"/>
        <w:rPr>
          <w:color w:val="auto"/>
          <w:sz w:val="28"/>
          <w:szCs w:val="28"/>
        </w:rPr>
      </w:pPr>
    </w:p>
    <w:p w14:paraId="000007AB">
      <w:pPr>
        <w:pBdr>
          <w:top w:val="nil" w:sz="4" w:space="0"/>
          <w:left w:val="nil" w:sz="4" w:space="0"/>
          <w:bottom w:val="nil" w:sz="4" w:space="0"/>
          <w:right w:val="nil" w:sz="4" w:space="0"/>
          <w:between w:val="nil" w:sz="4" w:space="0"/>
        </w:pBdr>
        <w:ind w:left="1" w:hanging="3"/>
        <w:jc w:val="right"/>
        <w:rPr>
          <w:rFonts w:ascii="Times New Roman" w:cs="Times New Roman" w:eastAsia="Times New Roman" w:hAnsi="Times New Roman"/>
        </w:rPr>
      </w:pPr>
      <w:r>
        <w:rPr>
          <w:rFonts w:ascii="Times New Roman" w:cs="Times New Roman" w:eastAsia="Times New Roman" w:hAnsi="Times New Roman"/>
          <w:i/>
          <w:sz w:val="28"/>
          <w:szCs w:val="28"/>
        </w:rPr>
        <w:t>15.06.202</w:t>
      </w:r>
      <w:r>
        <w:rPr>
          <w:rFonts w:ascii="Times New Roman" w:cs="Times New Roman" w:eastAsia="Times New Roman" w:hAnsi="Times New Roman"/>
          <w:i/>
          <w:sz w:val="28"/>
          <w:szCs w:val="28"/>
        </w:rPr>
        <w:t>6</w:t>
      </w:r>
      <w:r>
        <w:rPr>
          <w:rFonts w:ascii="Times New Roman" w:cs="Times New Roman" w:eastAsia="Times New Roman" w:hAnsi="Times New Roman"/>
          <w:i/>
          <w:sz w:val="28"/>
          <w:szCs w:val="28"/>
        </w:rPr>
        <w:t xml:space="preserve">     </w:t>
      </w:r>
      <w:r>
        <w:rPr>
          <w:rFonts w:ascii="Times New Roman" w:cs="Times New Roman" w:eastAsia="Times New Roman" w:hAnsi="Times New Roman"/>
          <w:i/>
          <w:sz w:val="28"/>
          <w:szCs w:val="28"/>
          <w:vertAlign w:val="subscript"/>
        </w:rPr>
        <w:t>____</w:t>
      </w:r>
      <w:r>
        <w:rPr>
          <w:rFonts w:ascii="Times New Roman" w:cs="Times New Roman" w:eastAsia="Times New Roman" w:hAnsi="Times New Roman"/>
          <w:i/>
          <w:sz w:val="28"/>
          <w:szCs w:val="28"/>
          <w:vertAlign w:val="subscript"/>
        </w:rPr>
        <w:t>____</w:t>
      </w:r>
      <w:r>
        <w:rPr>
          <w:rFonts w:ascii="Times New Roman" w:cs="Times New Roman" w:eastAsia="Times New Roman" w:hAnsi="Times New Roman"/>
          <w:i/>
          <w:sz w:val="28"/>
          <w:szCs w:val="28"/>
          <w:vertAlign w:val="subscript"/>
        </w:rPr>
        <w:t>____</w:t>
      </w:r>
      <w:r>
        <w:rPr>
          <w:rFonts w:ascii="Times New Roman" w:cs="Times New Roman" w:eastAsia="Times New Roman" w:hAnsi="Times New Roman"/>
          <w:i/>
          <w:sz w:val="28"/>
          <w:szCs w:val="28"/>
          <w:vertAlign w:val="subscript"/>
        </w:rPr>
        <w:t>_________</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И.Г.</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Ищенко</w:t>
      </w:r>
    </w:p>
    <w:p w14:paraId="000007AC">
      <w:pPr>
        <w:pStyle w:val="Normal"/>
        <w:spacing w:beforeAutospacing="0" w:afterAutospacing="0" w:line="360" w:lineRule="auto"/>
        <w:jc w:val="both"/>
        <w:rPr>
          <w:rFonts w:ascii="Times New Roman" w:cs="Times New Roman" w:eastAsia="Times New Roman" w:hAnsi="Times New Roman"/>
          <w:b/>
          <w:bCs/>
          <w:sz w:val="28"/>
          <w:szCs w:val="28"/>
        </w:rPr>
      </w:pPr>
      <w:r>
        <w:rPr>
          <w:rFonts w:ascii="Times New Roman" w:cs="Times New Roman" w:eastAsia="Times New Roman" w:hAnsi="Times New Roman"/>
          <w:b/>
          <w:bCs/>
          <w:sz w:val="28"/>
          <w:szCs w:val="28"/>
        </w:rPr>
        <w:drawing xmlns:mc="http://schemas.openxmlformats.org/markup-compatibility/2006">
          <wp:inline distT="114300" distB="114300" distL="114300" distR="114300">
            <wp:extent cx="6219825" cy="9065895"/>
            <wp:effectExtent l="0" t="0" r="0" b="0"/>
            <wp:docPr id="20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30"/>
                    <pic:cNvPicPr>
                      <a:picLocks noGrp="0" noSelect="0" noChangeAspect="1" noMove="0"/>
                    </pic:cNvPicPr>
                  </pic:nvPicPr>
                  <pic:blipFill>
                    <a:blip r:embed="rId70"/>
                    <a:srcRect/>
                    <a:stretch>
                      <a:fillRect/>
                    </a:stretch>
                  </pic:blipFill>
                  <pic:spPr>
                    <a:xfrm>
                      <a:off x="0" y="0"/>
                      <a:ext cx="6219825" cy="9065895"/>
                    </a:xfrm>
                    <a:prstGeom prst="rect">
                      <a:avLst/>
                    </a:prstGeom>
                  </pic:spPr>
                </pic:pic>
              </a:graphicData>
            </a:graphic>
          </wp:inline>
        </w:drawing>
      </w:r>
    </w:p>
    <w:p w14:paraId="000007AD">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0"/>
        <w:jc w:val="center"/>
        <w:rPr>
          <w:rFonts w:ascii="Times New Roman" w:cs="Times New Roman" w:hAnsi="Times New Roman"/>
          <w:b/>
          <w:bCs/>
          <w:color w:val="auto"/>
          <w:sz w:val="28"/>
          <w:szCs w:val="28"/>
        </w:rPr>
      </w:pPr>
      <w:r>
        <w:rPr>
          <w:rFonts w:ascii="Times New Roman" w:cs="Times New Roman" w:hAnsi="Times New Roman"/>
          <w:b/>
          <w:bCs/>
          <w:color w:val="auto"/>
          <w:sz w:val="28"/>
          <w:szCs w:val="28"/>
        </w:rPr>
        <w:t>ОТЗЫВ</w:t>
      </w:r>
    </w:p>
    <w:p w14:paraId="000007AE">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0"/>
        <w:jc w:val="center"/>
        <w:rPr>
          <w:rFonts w:ascii="Times New Roman" w:cs="Times New Roman" w:hAnsi="Times New Roman"/>
          <w:b/>
          <w:bCs/>
          <w:color w:val="auto"/>
          <w:sz w:val="28"/>
          <w:szCs w:val="28"/>
        </w:rPr>
      </w:pPr>
      <w:r>
        <w:rPr>
          <w:rFonts w:ascii="Times New Roman" w:cs="Times New Roman" w:hAnsi="Times New Roman"/>
          <w:b/>
          <w:bCs/>
          <w:color w:val="auto"/>
          <w:sz w:val="28"/>
          <w:szCs w:val="28"/>
        </w:rPr>
        <w:t>на выпускную квалификационную работу студента гр. 22ЭМ1</w:t>
      </w:r>
    </w:p>
    <w:p w14:paraId="000007AF">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0"/>
        <w:jc w:val="center"/>
        <w:rPr>
          <w:rFonts w:ascii="Times New Roman" w:cs="Times New Roman" w:hAnsi="Times New Roman"/>
          <w:b/>
          <w:bCs/>
          <w:color w:val="auto"/>
          <w:sz w:val="28"/>
          <w:szCs w:val="28"/>
        </w:rPr>
      </w:pPr>
      <w:r>
        <w:rPr>
          <w:rFonts w:ascii="Times New Roman" w:cs="Times New Roman" w:hAnsi="Times New Roman"/>
          <w:b/>
          <w:bCs/>
          <w:color w:val="auto"/>
          <w:sz w:val="28"/>
          <w:szCs w:val="28"/>
        </w:rPr>
        <w:t>Проскурнова Никиты Витальевича, выполненную на тему:</w:t>
      </w:r>
    </w:p>
    <w:p w14:paraId="000007B0">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0"/>
        <w:jc w:val="center"/>
        <w:rPr>
          <w:rFonts w:ascii="Times New Roman" w:cs="Times New Roman" w:hAnsi="Times New Roman"/>
          <w:b/>
          <w:bCs/>
          <w:color w:val="auto"/>
          <w:sz w:val="28"/>
          <w:szCs w:val="28"/>
        </w:rPr>
      </w:pPr>
      <w:r>
        <w:rPr>
          <w:rFonts w:ascii="Times New Roman" w:cs="Times New Roman" w:hAnsi="Times New Roman"/>
          <w:b/>
          <w:bCs/>
          <w:color w:val="auto"/>
          <w:sz w:val="28"/>
          <w:szCs w:val="28"/>
        </w:rPr>
        <w:t>«Разработка бизнес-плана создания предприятия по производству гиперпрессованного кирпича»</w:t>
      </w:r>
    </w:p>
    <w:p w14:paraId="000007B1">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right="0"/>
        <w:jc w:val="both"/>
        <w:rPr>
          <w:rFonts w:ascii="Times New Roman" w:cs="Times New Roman" w:hAnsi="Times New Roman"/>
          <w:color w:val="auto"/>
          <w:sz w:val="28"/>
          <w:szCs w:val="28"/>
        </w:rPr>
      </w:pPr>
    </w:p>
    <w:p w14:paraId="000007B2">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706"/>
        <w:jc w:val="both"/>
        <w:rPr>
          <w:rFonts w:ascii="Times New Roman" w:cs="Times New Roman" w:hAnsi="Times New Roman"/>
          <w:color w:val="auto"/>
          <w:sz w:val="28"/>
          <w:szCs w:val="28"/>
        </w:rPr>
      </w:pPr>
      <w:r>
        <w:rPr>
          <w:rFonts w:ascii="Times New Roman" w:cs="Times New Roman" w:hAnsi="Times New Roman"/>
          <w:color w:val="auto"/>
          <w:sz w:val="28"/>
          <w:szCs w:val="28"/>
        </w:rPr>
        <w:t>Выпускная квалификационная работа Проскурнова Никиты Витальевича посвящена разработке бизнес-плана создания предприятия по производству гиперпрессованного кирпича. Актуальность темы обусловлена потребностью регионального строительного рынка в качественных облицовочных материалах, развитием индивидуального жилищного строительства и необходимостью расширения местного производства в Пензенской области.</w:t>
      </w:r>
    </w:p>
    <w:p w14:paraId="000007B3">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706"/>
        <w:jc w:val="both"/>
        <w:rPr>
          <w:rFonts w:ascii="Times New Roman" w:cs="Times New Roman" w:hAnsi="Times New Roman"/>
          <w:color w:val="auto"/>
          <w:sz w:val="28"/>
          <w:szCs w:val="28"/>
        </w:rPr>
      </w:pPr>
      <w:r>
        <w:rPr>
          <w:rFonts w:ascii="Times New Roman" w:cs="Times New Roman" w:hAnsi="Times New Roman"/>
          <w:color w:val="auto"/>
          <w:sz w:val="28"/>
          <w:szCs w:val="28"/>
        </w:rPr>
        <w:t xml:space="preserve">Практическая значимость работы заключается в том, что автором предложен комплекс решений, необходимых для запуска производственного предприятия. ВКР включает анализ рынка и конкурентной среды, обоснование выбора продукции, определение организационно-правовой формы, разработку производственной </w:t>
      </w:r>
      <w:r>
        <w:rPr>
          <w:rFonts w:ascii="Times New Roman" w:cs="Times New Roman" w:hAnsi="Times New Roman"/>
          <w:color w:val="auto"/>
          <w:sz w:val="28"/>
          <w:szCs w:val="28"/>
        </w:rPr>
        <w:t xml:space="preserve">логистической </w:t>
      </w:r>
      <w:r>
        <w:rPr>
          <w:rFonts w:ascii="Times New Roman" w:cs="Times New Roman" w:hAnsi="Times New Roman"/>
          <w:color w:val="auto"/>
          <w:sz w:val="28"/>
          <w:szCs w:val="28"/>
        </w:rPr>
        <w:t>маркетинговый планы, а также разработка кадровой структуры и технологий управления персоналом создаваемого предприятия выполнены неполно и требуют доработки и уточнений.</w:t>
      </w:r>
    </w:p>
    <w:p w14:paraId="000007B4">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706"/>
        <w:jc w:val="both"/>
        <w:rPr>
          <w:rFonts w:ascii="Times New Roman" w:cs="Times New Roman" w:hAnsi="Times New Roman"/>
          <w:color w:val="auto"/>
          <w:sz w:val="28"/>
          <w:szCs w:val="28"/>
        </w:rPr>
      </w:pPr>
      <w:r>
        <w:rPr>
          <w:rFonts w:ascii="Times New Roman" w:cs="Times New Roman" w:hAnsi="Times New Roman"/>
          <w:color w:val="auto"/>
          <w:sz w:val="28"/>
          <w:szCs w:val="28"/>
        </w:rPr>
        <w:t>Работа выполнена на хорошем профессиональном уровне и имеет логичную структуру. Автор последовательно раскрывает теоретические основы проектной деятельности и бизнес-планирования, проводит анализ рынка гиперпрессованного кирпича, оценивает потребителей и конкурентов, после чего формирует практические предложения по созданию предприятия.</w:t>
      </w:r>
    </w:p>
    <w:p w14:paraId="000007B5">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706"/>
        <w:jc w:val="both"/>
        <w:rPr>
          <w:rFonts w:ascii="Times New Roman" w:cs="Times New Roman" w:hAnsi="Times New Roman"/>
          <w:color w:val="auto"/>
          <w:sz w:val="28"/>
          <w:szCs w:val="28"/>
        </w:rPr>
      </w:pPr>
      <w:r>
        <w:rPr>
          <w:rFonts w:ascii="Times New Roman" w:cs="Times New Roman" w:hAnsi="Times New Roman"/>
          <w:color w:val="auto"/>
          <w:sz w:val="28"/>
          <w:szCs w:val="28"/>
        </w:rPr>
        <w:t>Материал изложен достаточно последовательно, в работе присутствуют таблицы, рисунки, статистические данные. Также в качестве замечаний нужно отметить, что отдельные положения, связанные с рисками проекта и способами их минимизации, могли бы быть раскрыты подробнее. Приведенные выводы требуют дополнительного обоснования.</w:t>
      </w:r>
    </w:p>
    <w:p w14:paraId="000007B6">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706"/>
        <w:jc w:val="both"/>
        <w:rPr>
          <w:rFonts w:ascii="Times New Roman" w:cs="Times New Roman" w:hAnsi="Times New Roman"/>
          <w:color w:val="auto"/>
          <w:sz w:val="28"/>
          <w:szCs w:val="28"/>
        </w:rPr>
      </w:pPr>
      <w:r>
        <w:rPr>
          <w:rFonts w:ascii="Times New Roman" w:cs="Times New Roman" w:hAnsi="Times New Roman"/>
          <w:color w:val="auto"/>
          <w:sz w:val="28"/>
          <w:szCs w:val="28"/>
        </w:rPr>
        <w:t xml:space="preserve">В процессе подготовки выпускной квалификационной работы Проскурнов </w:t>
      </w:r>
      <w:r>
        <w:rPr>
          <w:rFonts w:ascii="Times New Roman" w:cs="Times New Roman" w:hAnsi="Times New Roman"/>
          <w:color w:val="auto"/>
          <w:sz w:val="28"/>
          <w:szCs w:val="28"/>
        </w:rPr>
        <w:t>Никита Витальевич показал умение применять знания в области менеджмента, анализа рынка, организационного проектирования, бизнес-планирования и экономического обоснования управленческих решений. Однако разделы работы не были предоставлены в установленные сроки.</w:t>
      </w:r>
    </w:p>
    <w:p w14:paraId="000007B7">
      <w:pPr>
        <w:framePr w:w="0" w:h="0" w:vAnchor="margin" w:hAnchor="text" w:x="0" w:y="0"/>
        <w:pBdr>
          <w:top w:val="none" w:sz="4" w:space="0"/>
          <w:left w:val="none" w:sz="4" w:space="0"/>
          <w:bottom w:val="none" w:sz="4" w:space="0"/>
          <w:right w:val="none" w:sz="4" w:space="0"/>
          <w:between w:val="none" w:sz="4" w:space="0"/>
          <w:bar w:val="none" w:sz="4" w:space="0"/>
        </w:pBdr>
        <w:shd w:val="clear"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beforeAutospacing="0" w:after="0" w:afterAutospacing="0" w:line="360" w:lineRule="auto"/>
        <w:ind w:left="0" w:right="0" w:firstLine="706"/>
        <w:jc w:val="both"/>
        <w:rPr>
          <w:rFonts w:ascii="Times New Roman" w:cs="Times New Roman" w:hAnsi="Times New Roman"/>
          <w:color w:val="auto"/>
          <w:sz w:val="28"/>
          <w:szCs w:val="28"/>
        </w:rPr>
      </w:pPr>
      <w:r>
        <w:rPr>
          <w:rFonts w:ascii="Times New Roman" w:cs="Times New Roman" w:hAnsi="Times New Roman"/>
          <w:color w:val="auto"/>
          <w:sz w:val="28"/>
          <w:szCs w:val="28"/>
        </w:rPr>
        <w:t xml:space="preserve">Выпускная квалификационная работа является самостоятельным и </w:t>
      </w:r>
      <w:r>
        <w:rPr>
          <w:rFonts w:ascii="Times New Roman" w:cs="Times New Roman" w:hAnsi="Times New Roman"/>
          <w:color w:val="auto"/>
          <w:sz w:val="28"/>
          <w:szCs w:val="28"/>
        </w:rPr>
        <w:t>логически завершённым исследованием, направленным на решение актуальной практической задачи — разработку бизнес-плана создания предприятия по производству гиперпрессованного кирпича. Дипломная работа соответствует требованиям, предьявляемым к ВКР, рекомендуется к защите на заседании</w:t>
      </w:r>
      <w:r>
        <w:rPr>
          <w:rFonts w:ascii="Times New Roman" w:cs="Times New Roman" w:eastAsia="Times New Roman" w:hAnsi="Times New Roman"/>
          <w:b/>
          <w:bCs/>
          <w:color w:val="auto"/>
          <w:sz w:val="28"/>
          <w:szCs w:val="28"/>
        </w:rPr>
        <w:t xml:space="preserve"> </w:t>
      </w:r>
      <w:r>
        <w:rPr>
          <w:rFonts w:ascii="Times New Roman" w:cs="Times New Roman" w:hAnsi="Times New Roman"/>
          <w:color w:val="auto"/>
          <w:sz w:val="28"/>
          <w:szCs w:val="28"/>
        </w:rPr>
        <w:t xml:space="preserve">государственной экзаменационной комиссии и заслуживает оценки «хорошо». </w:t>
      </w:r>
      <w:r>
        <w:rPr>
          <w:rFonts w:ascii="Times New Roman" w:cs="Times New Roman" w:hAnsi="Times New Roman"/>
          <w:color w:val="auto"/>
          <w:sz w:val="28"/>
          <w:szCs w:val="28"/>
        </w:rPr>
        <w:t xml:space="preserve">Автор работы заслуживает присвоения квалификации бакалавра по </w:t>
      </w:r>
      <w:r>
        <w:rPr>
          <w:rFonts w:ascii="Times New Roman" w:cs="Times New Roman" w:hAnsi="Times New Roman"/>
          <w:color w:val="auto"/>
          <w:sz w:val="28"/>
          <w:szCs w:val="28"/>
        </w:rPr>
        <w:t>направлению подготовки 38.03.02 Менеджмент.</w:t>
      </w:r>
    </w:p>
    <w:p w14:paraId="000007B8">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B9">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BA">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BB">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BC">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BD">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BE">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BF">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0">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1">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2">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3">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4">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5">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6">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7">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8">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9">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A">
      <w:pPr>
        <w:pStyle w:val="Normal"/>
        <w:spacing w:beforeAutospacing="0" w:after="0" w:afterAutospacing="0" w:line="240"/>
        <w:jc w:val="both"/>
        <w:rPr>
          <w:rFonts w:ascii="Times New Roman" w:cs="Times New Roman" w:hAnsi="Times New Roman" w:hint="default"/>
          <w:b w:val="off"/>
          <w:bCs w:val="off"/>
          <w:color w:val="000000"/>
          <w:sz w:val="28"/>
          <w:szCs w:val="28"/>
        </w:rPr>
      </w:pPr>
    </w:p>
    <w:p w14:paraId="000007CB">
      <w:pPr>
        <w:pStyle w:val="Normal"/>
        <w:spacing w:beforeAutospacing="0" w:after="0" w:afterAutospacing="0" w:line="240"/>
        <w:jc w:val="both"/>
        <w:rPr>
          <w:rFonts w:ascii="Times New Roman" w:cs="Times New Roman" w:hAnsi="Times New Roman" w:hint="default"/>
          <w:b w:val="off"/>
          <w:bCs w:val="off"/>
          <w:color w:val="000000"/>
          <w:sz w:val="28"/>
          <w:szCs w:val="28"/>
        </w:rPr>
      </w:pPr>
      <w:r>
        <w:rPr>
          <w:rFonts w:ascii="Times New Roman" w:cs="Times New Roman" w:hAnsi="Times New Roman" w:hint="default"/>
          <w:b w:val="off"/>
          <w:bCs w:val="off"/>
          <w:color w:val="000000"/>
          <w:sz w:val="28"/>
          <w:szCs w:val="28"/>
        </w:rPr>
        <w:t>Научный  руководитель: ____</w:t>
      </w:r>
      <w:r>
        <w:rPr>
          <w:rFonts w:ascii="Times New Roman" w:cs="Times New Roman" w:hAnsi="Times New Roman" w:hint="default"/>
          <w:b w:val="off"/>
          <w:bCs w:val="off"/>
          <w:color w:val="000000"/>
          <w:sz w:val="28"/>
          <w:szCs w:val="28"/>
        </w:rPr>
        <w:t>______________________________________</w:t>
      </w:r>
    </w:p>
    <w:p w14:paraId="000007CC">
      <w:pPr>
        <w:pStyle w:val="Normal"/>
        <w:spacing w:beforeAutospacing="0" w:after="0" w:afterAutospacing="0" w:line="240"/>
        <w:ind w:firstLine="706"/>
        <w:jc w:val="both"/>
        <w:rPr>
          <w:rFonts w:ascii="Times New Roman" w:cs="Times New Roman" w:eastAsia="Times New Roman" w:hAnsi="Times New Roman"/>
          <w:b/>
          <w:bCs/>
          <w:sz w:val="28"/>
          <w:szCs w:val="28"/>
        </w:rPr>
      </w:pPr>
      <w:r>
        <w:rPr>
          <w:rFonts w:ascii="Times New Roman" w:cs="Times New Roman" w:hAnsi="Times New Roman" w:hint="default"/>
          <w:b w:val="off"/>
          <w:bCs w:val="off"/>
          <w:color w:val="000000"/>
          <w:spacing w:val="-1"/>
          <w:sz w:val="28"/>
          <w:szCs w:val="28"/>
        </w:rPr>
        <w:t xml:space="preserve">        </w:t>
      </w:r>
      <w:r>
        <w:rPr>
          <w:rFonts w:ascii="Times New Roman" w:cs="Times New Roman" w:hAnsi="Times New Roman" w:hint="default"/>
          <w:b w:val="off"/>
          <w:bCs w:val="off"/>
          <w:color w:val="000000"/>
          <w:spacing w:val="-1"/>
          <w:sz w:val="28"/>
          <w:szCs w:val="28"/>
        </w:rPr>
        <w:t xml:space="preserve">                                                    </w:t>
      </w:r>
      <w:r>
        <w:rPr>
          <w:rFonts w:ascii="Times New Roman" w:cs="Times New Roman" w:hAnsi="Times New Roman" w:hint="default"/>
          <w:b w:val="off"/>
          <w:bCs w:val="off"/>
          <w:color w:val="000000"/>
          <w:spacing w:val="-1"/>
          <w:sz w:val="28"/>
          <w:szCs w:val="28"/>
        </w:rPr>
        <w:t>подпись,   инициалы,   фамилия</w:t>
      </w:r>
    </w:p>
    <w:p w14:paraId="000007CD">
      <w:pPr>
        <w:spacing w:beforeAutospacing="0" w:after="0" w:afterAutospacing="0"/>
        <w:rPr/>
      </w:pPr>
    </w:p>
    <w:sectPr>
      <w:headerReference w:type="default" r:id="rId71"/>
      <w:footerReference w:type="default" r:id="rId72"/>
      <w:pgSz w:w="11906" w:h="16838"/>
      <w:pgMar w:top="1134" w:right="850" w:bottom="1134" w:left="1701"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mc:Ignorable="w14 wp14 ">
  <w:endnote w:type="separator" w:id="0">
    <w:p w14:paraId="00000003">
      <w:pPr>
        <w:spacing w:beforeAutospacing="0" w:after="0" w:afterAutospacing="0" w:line="240" w:lineRule="auto"/>
        <w:rPr/>
      </w:pPr>
      <w:r>
        <w:rPr/>
        <w:separator/>
      </w:r>
    </w:p>
  </w:endnote>
  <w:endnote w:type="continuationSeparator" w:id="1">
    <w:p w14:paraId="00000004">
      <w:pPr>
        <w:spacing w:beforeAutospacing="0" w:after="0" w:afterAutospacing="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Courier New">
    <w:panose1 w:val="02070309020205020404"/>
    <w:charset w:val="cc"/>
    <w:family w:val="modern"/>
    <w:pitch w:val="fixed"/>
    <w:sig w:usb0="00000000" w:usb1="00000000" w:usb2="00000009" w:usb3="00000000" w:csb0="000001ff" w:csb1="00000000"/>
  </w:font>
  <w:font w:name="Times New Roman">
    <w:panose1 w:val="02020603050405020304"/>
    <w:charset w:val="cc"/>
    <w:family w:val="roman"/>
    <w:pitch w:val="variable"/>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cc"/>
    <w:family w:val="swiss"/>
    <w:pitch w:val="variable"/>
    <w:sig w:usb0="00000000" w:usb1="00000000" w:usb2="00000009" w:usb3="00000000" w:csb0="000001ff" w:csb1="00000000"/>
  </w:font>
  <w:font w:name="Calibri Light">
    <w:panose1 w:val="020f0302020204030204"/>
    <w:charset w:val="cc"/>
    <w:family w:val="swiss"/>
    <w:pitch w:val="variable"/>
    <w:sig w:usb0="00000000" w:usb1="00000000" w:usb2="00000009" w:usb3="00000000" w:csb0="000001ff" w:csb1="00000000"/>
  </w:font>
  <w:font w:name="Tahoma">
    <w:panose1 w:val="020b0604030504040204"/>
    <w:charset w:val="cc"/>
    <w:family w:val="swiss"/>
    <w:pitch w:val="variable"/>
    <w:sig w:usb0="00000000" w:usb1="00000000" w:usb2="00000029" w:usb3="00000000" w:csb0="000101ff" w:csb1="00000000"/>
  </w:font>
  <w:font w:name="Arial">
    <w:panose1 w:val="020b0604020202020204"/>
    <w:charset w:val="00"/>
    <w:family w:val="swiss"/>
    <w:pitch w:val="variable"/>
    <w:sig w:usb0="20002a87" w:usb1="00000000" w:usb2="00000008" w:usb3="00000000" w:csb0="000001ff" w:csb1="00000000"/>
  </w:font>
  <w:font w:name="Cambria">
    <w:panose1 w:val="02040503050406030204"/>
    <w:charset w:val="00"/>
    <w:family w:val="roman"/>
    <w:pitch w:val="variable"/>
    <w:sig w:usb0="00000000" w:usb1="4000004b" w:usb2="00000000" w:usb3="00000000" w:csb0="0000009f" w:csb1="00000000"/>
  </w:font>
  <w:font w:name="Verdana">
    <w:panose1 w:val="020b0604030504040204"/>
    <w:charset w:val="00"/>
    <w:family w:val="roman"/>
    <w:pitch w:val="variable"/>
    <w:sig w:usb0="00000000" w:usb1="4000205b" w:usb2="00000010" w:usb3="00000000" w:csb0="0000019f" w:csb1="00000000"/>
  </w:font>
  <w:font w:name="Helvetica Neue">
    <w:charset w:val="0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mc:Ignorable="w14 wp14 ">
  <w:p w14:paraId="000007D0">
    <w:pPr>
      <w:pStyle w:val="Normal"/>
      <w:jc w:val="center"/>
      <w:rPr>
        <w:rFonts w:ascii="Times New Roman" w:cs="Times New Roman" w:eastAsia="Times New Roman" w:hAnsi="Times New Roman"/>
        <w:sz w:val="28"/>
        <w:szCs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mc:Ignorable="w14 wp14 ">
  <w:p w14:paraId="000007D1">
    <w:pPr>
      <w:pStyle w:val="Footer"/>
      <w:jc w:val="center"/>
      <w:rPr>
        <w:rFonts w:ascii="Times New Roman" w:cs="Times New Roman" w:hAnsi="Times New Roman"/>
      </w:rPr>
    </w:pPr>
    <w:r>
      <w:rPr>
        <w:rFonts w:ascii="Times New Roman" w:cs="Times New Roman" w:hAnsi="Times New Roman"/>
      </w:rPr>
      <w:fldChar w:fldCharType="begin"/>
    </w:r>
    <w:r>
      <w:rPr>
        <w:rFonts w:ascii="Times New Roman" w:cs="Times New Roman" w:hAnsi="Times New Roman"/>
      </w:rPr>
      <w:instrText xml:space="preserve">PAGE   \* MERGEFORMAT</w:instrText>
    </w:r>
    <w:r>
      <w:rPr>
        <w:rFonts w:ascii="Times New Roman" w:cs="Times New Roman" w:hAnsi="Times New Roman"/>
      </w:rPr>
      <w:fldChar w:fldCharType="separate"/>
    </w:r>
    <w:r>
      <w:rPr>
        <w:rFonts w:ascii="Times New Roman" w:cs="Times New Roman" w:hAnsi="Times New Roman"/>
      </w:rPr>
      <w:t>57</w:t>
    </w:r>
    <w:r>
      <w:rPr>
        <w:rFonts w:ascii="Times New Roman" w:cs="Times New Roman" w:hAnsi="Times New Roman"/>
      </w:rPr>
      <w:fldChar w:fldCharType="end"/>
    </w:r>
  </w:p>
  <w:p w14:paraId="000007D2">
    <w:pPr>
      <w:pStyle w:val="Foot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mc:Ignorable="w14 wp14 ">
  <w:footnote w:type="separator" w:id="0">
    <w:p w14:paraId="00000001">
      <w:pPr>
        <w:spacing w:beforeAutospacing="0" w:after="0" w:afterAutospacing="0" w:line="240" w:lineRule="auto"/>
        <w:rPr/>
      </w:pPr>
      <w:r>
        <w:rPr/>
        <w:separator/>
      </w:r>
    </w:p>
  </w:footnote>
  <w:footnote w:type="continuationSeparator" w:id="1">
    <w:p w14:paraId="00000002">
      <w:pPr>
        <w:spacing w:beforeAutospacing="0" w:after="0" w:afterAutospacing="0" w:line="240" w:lineRule="auto"/>
        <w:rPr/>
      </w:pPr>
      <w:r>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mc:Ignorable="w14 wp14 ">
  <w:p w14:paraId="000007CE">
    <w:pPr>
      <w:spacing w:beforeAutospacing="0" w:after="0" w:afterAutospacing="0" w:line="240" w:lineRule="auto"/>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wpi="http://schemas.microsoft.com/office/word/2010/wordprocessingInk" xmlns:aink="http://schemas.microsoft.com/office/drawing/2016/ink" xmlns:dgm="http://schemas.openxmlformats.org/drawingml/2006/diagram" mc:Ignorable="w14 wp14 ">
  <w:p w14:paraId="000007CF">
    <w:pPr>
      <w:spacing w:beforeAutospacing="0" w:after="0" w:afterAutospacing="0" w:line="240" w:lineRule="auto"/>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4">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8">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9">
    <w:multiLevelType w:val="hybridMultilevel"/>
    <w:lvl w:ilvl="0" w:tentative="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36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36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360"/>
      </w:pPr>
    </w:lvl>
  </w:abstractNum>
  <w:abstractNum w:abstractNumId="10">
    <w:multiLevelType w:val="hybridMultilevel"/>
    <w:lvl w:ilvl="0" w:tentative="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36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36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360"/>
      </w:pPr>
    </w:lvl>
  </w:abstractNum>
  <w:abstractNum w:abstractNumId="11">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2">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multiLevelType w:val="hybridMultilevel"/>
    <w:lvl w:ilvl="0" w:tentative="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36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36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360"/>
      </w:pPr>
    </w:lvl>
  </w:abstractNum>
  <w:abstractNum w:abstractNumId="15">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7">
    <w:multiLevelType w:val="multilevel"/>
    <w:lvl w:ilvl="0" w:tentative="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9">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0">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4">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7">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8">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32">
    <w:multiLevelType w:val="hybridMultilevel"/>
    <w:lvl w:ilvl="0" w:tentative="0">
      <w:start w:val="1"/>
      <w:numFmt w:val="decimal"/>
      <w:lvlText w:val="%1."/>
      <w:lvlJc w:val="left"/>
      <w:pPr>
        <w:ind w:left="1426" w:hanging="360"/>
      </w:pPr>
    </w:lvl>
    <w:lvl w:ilvl="1" w:tentative="1">
      <w:start w:val="1"/>
      <w:numFmt w:val="lowerLetter"/>
      <w:lvlText w:val="%2."/>
      <w:lvlJc w:val="left"/>
      <w:pPr>
        <w:ind w:left="2146" w:hanging="360"/>
      </w:pPr>
    </w:lvl>
    <w:lvl w:ilvl="2" w:tentative="1">
      <w:start w:val="1"/>
      <w:numFmt w:val="lowerRoman"/>
      <w:lvlText w:val="%3."/>
      <w:lvlJc w:val="right"/>
      <w:pPr>
        <w:ind w:left="2866" w:hanging="360"/>
      </w:pPr>
    </w:lvl>
    <w:lvl w:ilvl="3" w:tentative="1">
      <w:start w:val="1"/>
      <w:numFmt w:val="decimal"/>
      <w:lvlText w:val="%4."/>
      <w:lvlJc w:val="left"/>
      <w:pPr>
        <w:ind w:left="3586" w:hanging="360"/>
      </w:pPr>
    </w:lvl>
    <w:lvl w:ilvl="4" w:tentative="1">
      <w:start w:val="1"/>
      <w:numFmt w:val="lowerLetter"/>
      <w:lvlText w:val="%5."/>
      <w:lvlJc w:val="left"/>
      <w:pPr>
        <w:ind w:left="4306" w:hanging="360"/>
      </w:pPr>
    </w:lvl>
    <w:lvl w:ilvl="5" w:tentative="1">
      <w:start w:val="1"/>
      <w:numFmt w:val="lowerRoman"/>
      <w:lvlText w:val="%6."/>
      <w:lvlJc w:val="right"/>
      <w:pPr>
        <w:ind w:left="5026" w:hanging="360"/>
      </w:pPr>
    </w:lvl>
    <w:lvl w:ilvl="6" w:tentative="1">
      <w:start w:val="1"/>
      <w:numFmt w:val="decimal"/>
      <w:lvlText w:val="%7."/>
      <w:lvlJc w:val="left"/>
      <w:pPr>
        <w:ind w:left="5745" w:hanging="360"/>
      </w:pPr>
    </w:lvl>
    <w:lvl w:ilvl="7" w:tentative="1">
      <w:start w:val="1"/>
      <w:numFmt w:val="lowerLetter"/>
      <w:lvlText w:val="%8."/>
      <w:lvlJc w:val="left"/>
      <w:pPr>
        <w:ind w:left="6465" w:hanging="360"/>
      </w:pPr>
    </w:lvl>
    <w:lvl w:ilvl="8" w:tentative="1">
      <w:start w:val="1"/>
      <w:numFmt w:val="lowerRoman"/>
      <w:lvlText w:val="%9."/>
      <w:lvlJc w:val="right"/>
      <w:pPr>
        <w:ind w:left="7185" w:hanging="360"/>
      </w:pPr>
    </w:lvl>
  </w:abstractNum>
  <w:abstractNum w:abstractNumId="33">
    <w:multiLevelType w:val="hybridMultilevel"/>
    <w:lvl w:ilvl="0" w:tentative="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36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36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360"/>
      </w:pPr>
    </w:lvl>
  </w:abstractNum>
  <w:abstractNum w:abstractNumId="34">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36">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37">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38">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multiLevelType w:val="hybridMultilevel"/>
    <w:lvl w:ilvl="0" w:tentative="0">
      <w:start w:val="1"/>
      <w:numFmt w:val="decimal"/>
      <w:lvlText w:val="%1."/>
      <w:lvlJc w:val="left"/>
      <w:pPr>
        <w:ind w:left="1426" w:hanging="360"/>
      </w:pPr>
    </w:lvl>
    <w:lvl w:ilvl="1" w:tentative="1">
      <w:start w:val="1"/>
      <w:numFmt w:val="lowerLetter"/>
      <w:lvlText w:val="%2."/>
      <w:lvlJc w:val="left"/>
      <w:pPr>
        <w:ind w:left="2146" w:hanging="360"/>
      </w:pPr>
    </w:lvl>
    <w:lvl w:ilvl="2" w:tentative="1">
      <w:start w:val="1"/>
      <w:numFmt w:val="lowerRoman"/>
      <w:lvlText w:val="%3."/>
      <w:lvlJc w:val="right"/>
      <w:pPr>
        <w:ind w:left="2866" w:hanging="360"/>
      </w:pPr>
    </w:lvl>
    <w:lvl w:ilvl="3" w:tentative="1">
      <w:start w:val="1"/>
      <w:numFmt w:val="decimal"/>
      <w:lvlText w:val="%4."/>
      <w:lvlJc w:val="left"/>
      <w:pPr>
        <w:ind w:left="3586" w:hanging="360"/>
      </w:pPr>
    </w:lvl>
    <w:lvl w:ilvl="4" w:tentative="1">
      <w:start w:val="1"/>
      <w:numFmt w:val="lowerLetter"/>
      <w:lvlText w:val="%5."/>
      <w:lvlJc w:val="left"/>
      <w:pPr>
        <w:ind w:left="4306" w:hanging="360"/>
      </w:pPr>
    </w:lvl>
    <w:lvl w:ilvl="5" w:tentative="1">
      <w:start w:val="1"/>
      <w:numFmt w:val="lowerRoman"/>
      <w:lvlText w:val="%6."/>
      <w:lvlJc w:val="right"/>
      <w:pPr>
        <w:ind w:left="5026" w:hanging="360"/>
      </w:pPr>
    </w:lvl>
    <w:lvl w:ilvl="6" w:tentative="1">
      <w:start w:val="1"/>
      <w:numFmt w:val="decimal"/>
      <w:lvlText w:val="%7."/>
      <w:lvlJc w:val="left"/>
      <w:pPr>
        <w:ind w:left="5745" w:hanging="360"/>
      </w:pPr>
    </w:lvl>
    <w:lvl w:ilvl="7" w:tentative="1">
      <w:start w:val="1"/>
      <w:numFmt w:val="lowerLetter"/>
      <w:lvlText w:val="%8."/>
      <w:lvlJc w:val="left"/>
      <w:pPr>
        <w:ind w:left="6465" w:hanging="360"/>
      </w:pPr>
    </w:lvl>
    <w:lvl w:ilvl="8" w:tentative="1">
      <w:start w:val="1"/>
      <w:numFmt w:val="lowerRoman"/>
      <w:lvlText w:val="%9."/>
      <w:lvlJc w:val="right"/>
      <w:pPr>
        <w:ind w:left="7185" w:hanging="360"/>
      </w:pPr>
    </w:lvl>
  </w:abstractNum>
  <w:abstractNum w:abstractNumId="4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multiLevelType w:val="hybridMultilevel"/>
    <w:lvl w:ilvl="0" w:tentative="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36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36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360"/>
      </w:pPr>
    </w:lvl>
  </w:abstractNum>
  <w:abstractNum w:abstractNumId="42">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45">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46">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47">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cs="Symbol" w:eastAsia="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cs="Symbol" w:eastAsia="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48">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49">
    <w:multiLevelType w:val="multilevel"/>
    <w:lvl w:ilvl="0" w:tentative="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multiLevelType w:val="hybridMultilevel"/>
    <w:lvl w:ilvl="0" w:tentative="0">
      <w:start w:val="1"/>
      <w:numFmt w:val="bullet"/>
      <w:lvlText w:val=""/>
      <w:lvlJc w:val="left"/>
      <w:pPr>
        <w:ind w:left="720" w:hanging="360"/>
      </w:pPr>
      <w:rPr>
        <w:rFonts w:ascii="Symbol" w:cs="Symbol" w:eastAsia="Symbol" w:hAnsi="Symbol"/>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53">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multiLevelType w:val="hybridMultilevel"/>
    <w:lvl w:ilvl="0" w:tentative="0">
      <w:start w:val="1"/>
      <w:numFmt w:val="decimal"/>
      <w:isLgl w:val="off"/>
      <w:suff w:val="tab"/>
      <w:lvlText w:val="%1)"/>
      <w:lvlJc w:val="left"/>
      <w:pPr>
        <w:ind w:left="720" w:hanging="360"/>
      </w:pPr>
      <w:rPr/>
    </w:lvl>
    <w:lvl w:ilvl="1" w:tentative="1">
      <w:start w:val="1"/>
      <w:numFmt w:val="lowerLetter"/>
      <w:isLgl w:val="off"/>
      <w:suff w:val="tab"/>
      <w:lvlText w:val="%2."/>
      <w:lvlJc w:val="left"/>
      <w:pPr>
        <w:ind w:left="1440" w:hanging="360"/>
      </w:pPr>
      <w:rPr/>
    </w:lvl>
    <w:lvl w:ilvl="2" w:tentative="1">
      <w:start w:val="1"/>
      <w:numFmt w:val="lowerRoman"/>
      <w:isLgl w:val="off"/>
      <w:suff w:val="tab"/>
      <w:lvlText w:val="%3."/>
      <w:lvlJc w:val="right"/>
      <w:pPr>
        <w:ind w:left="2160" w:hanging="360"/>
      </w:pPr>
      <w:rPr/>
    </w:lvl>
    <w:lvl w:ilvl="3" w:tentative="1">
      <w:start w:val="1"/>
      <w:numFmt w:val="decimal"/>
      <w:isLgl w:val="off"/>
      <w:suff w:val="tab"/>
      <w:lvlText w:val="%4."/>
      <w:lvlJc w:val="left"/>
      <w:pPr>
        <w:ind w:left="2880" w:hanging="360"/>
      </w:pPr>
      <w:rPr/>
    </w:lvl>
    <w:lvl w:ilvl="4" w:tentative="1">
      <w:start w:val="1"/>
      <w:numFmt w:val="lowerLetter"/>
      <w:isLgl w:val="off"/>
      <w:suff w:val="tab"/>
      <w:lvlText w:val="%5."/>
      <w:lvlJc w:val="left"/>
      <w:pPr>
        <w:ind w:left="3600" w:hanging="360"/>
      </w:pPr>
      <w:rPr/>
    </w:lvl>
    <w:lvl w:ilvl="5" w:tentative="1">
      <w:start w:val="1"/>
      <w:numFmt w:val="lowerRoman"/>
      <w:isLgl w:val="off"/>
      <w:suff w:val="tab"/>
      <w:lvlText w:val="%6."/>
      <w:lvlJc w:val="right"/>
      <w:pPr>
        <w:ind w:left="4320" w:hanging="360"/>
      </w:pPr>
      <w:rPr/>
    </w:lvl>
    <w:lvl w:ilvl="6" w:tentative="1">
      <w:start w:val="1"/>
      <w:numFmt w:val="decimal"/>
      <w:isLgl w:val="off"/>
      <w:suff w:val="tab"/>
      <w:lvlText w:val="%7."/>
      <w:lvlJc w:val="left"/>
      <w:pPr>
        <w:ind w:left="5040" w:hanging="360"/>
      </w:pPr>
      <w:rPr/>
    </w:lvl>
    <w:lvl w:ilvl="7" w:tentative="1">
      <w:start w:val="1"/>
      <w:numFmt w:val="lowerLetter"/>
      <w:isLgl w:val="off"/>
      <w:suff w:val="tab"/>
      <w:lvlText w:val="%8."/>
      <w:lvlJc w:val="left"/>
      <w:pPr>
        <w:ind w:left="5760" w:hanging="360"/>
      </w:pPr>
      <w:rPr/>
    </w:lvl>
    <w:lvl w:ilvl="8" w:tentative="1">
      <w:start w:val="1"/>
      <w:numFmt w:val="lowerRoman"/>
      <w:isLgl w:val="off"/>
      <w:suff w:val="tab"/>
      <w:lvlText w:val="%9."/>
      <w:lvlJc w:val="right"/>
      <w:pPr>
        <w:ind w:left="6480" w:hanging="360"/>
      </w:pPr>
      <w:rPr/>
    </w:lvl>
  </w:abstractNum>
  <w:abstractNum w:abstractNumId="55">
    <w:multiLevelType w:val="hybridMultilevel"/>
    <w:lvl w:ilvl="0" w:tentative="0">
      <w:start w:val="1"/>
      <w:numFmt w:val="decimal"/>
      <w:isLgl w:val="off"/>
      <w:suff w:val="tab"/>
      <w:lvlText w:val="%1)"/>
      <w:lvlJc w:val="left"/>
      <w:pPr>
        <w:ind w:left="720" w:hanging="360"/>
      </w:pPr>
      <w:r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righ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righ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right"/>
      <w:pPr>
        <w:ind w:left="6480" w:hanging="360"/>
      </w:pPr>
    </w:lvl>
  </w:abstractNum>
  <w:abstractNum w:abstractNumId="56">
    <w:multiLevelType w:val="hybridMultilevel"/>
    <w:lvl w:ilvl="0" w:tentative="1">
      <w:start w:val="1"/>
      <w:numFmt w:val="decimal"/>
      <w:suff w:val="tab"/>
      <w:lvlText w:val="%1"/>
      <w:lvlJc w:val="left"/>
      <w:pPr>
        <w:ind w:left="720" w:hanging="360"/>
      </w:pPr>
      <w:rPr/>
    </w:lvl>
  </w:abstractNum>
  <w:abstractNum w:abstractNumId="57">
    <w:multiLevelType w:val="hybridMultilevel"/>
    <w:lvl w:ilvl="0" w:tentative="0">
      <w:start w:val="1"/>
      <w:numFmt w:val="decimal"/>
      <w:isLgl w:val="off"/>
      <w:suff w:val="tab"/>
      <w:lvlText w:val="%1)"/>
      <w:lvlJc w:val="left"/>
      <w:pPr>
        <w:ind w:left="720" w:hanging="360"/>
      </w:pPr>
      <w:rPr/>
    </w:lvl>
    <w:lvl w:ilvl="1" w:tentative="1">
      <w:start w:val="1"/>
      <w:numFmt w:val="lowerLetter"/>
      <w:isLgl w:val="off"/>
      <w:suff w:val="tab"/>
      <w:lvlText w:val="%2."/>
      <w:lvlJc w:val="left"/>
      <w:pPr>
        <w:ind w:left="1440" w:hanging="360"/>
      </w:pPr>
      <w:rPr/>
    </w:lvl>
    <w:lvl w:ilvl="2" w:tentative="1">
      <w:start w:val="1"/>
      <w:numFmt w:val="lowerRoman"/>
      <w:isLgl w:val="off"/>
      <w:suff w:val="tab"/>
      <w:lvlText w:val="%3."/>
      <w:lvlJc w:val="right"/>
      <w:pPr>
        <w:ind w:left="2160" w:hanging="360"/>
      </w:pPr>
      <w:rPr/>
    </w:lvl>
    <w:lvl w:ilvl="3" w:tentative="1">
      <w:start w:val="1"/>
      <w:numFmt w:val="decimal"/>
      <w:isLgl w:val="off"/>
      <w:suff w:val="tab"/>
      <w:lvlText w:val="%4."/>
      <w:lvlJc w:val="left"/>
      <w:pPr>
        <w:ind w:left="2880" w:hanging="360"/>
      </w:pPr>
      <w:rPr/>
    </w:lvl>
    <w:lvl w:ilvl="4" w:tentative="1">
      <w:start w:val="1"/>
      <w:numFmt w:val="lowerLetter"/>
      <w:isLgl w:val="off"/>
      <w:suff w:val="tab"/>
      <w:lvlText w:val="%5."/>
      <w:lvlJc w:val="left"/>
      <w:pPr>
        <w:ind w:left="3600" w:hanging="360"/>
      </w:pPr>
      <w:rPr/>
    </w:lvl>
    <w:lvl w:ilvl="5" w:tentative="1">
      <w:start w:val="1"/>
      <w:numFmt w:val="lowerRoman"/>
      <w:isLgl w:val="off"/>
      <w:suff w:val="tab"/>
      <w:lvlText w:val="%6."/>
      <w:lvlJc w:val="right"/>
      <w:pPr>
        <w:ind w:left="4320" w:hanging="360"/>
      </w:pPr>
      <w:rPr/>
    </w:lvl>
    <w:lvl w:ilvl="6" w:tentative="1">
      <w:start w:val="1"/>
      <w:numFmt w:val="decimal"/>
      <w:isLgl w:val="off"/>
      <w:suff w:val="tab"/>
      <w:lvlText w:val="%7."/>
      <w:lvlJc w:val="left"/>
      <w:pPr>
        <w:ind w:left="5040" w:hanging="360"/>
      </w:pPr>
      <w:rPr/>
    </w:lvl>
    <w:lvl w:ilvl="7" w:tentative="1">
      <w:start w:val="1"/>
      <w:numFmt w:val="lowerLetter"/>
      <w:isLgl w:val="off"/>
      <w:suff w:val="tab"/>
      <w:lvlText w:val="%8."/>
      <w:lvlJc w:val="left"/>
      <w:pPr>
        <w:ind w:left="5760" w:hanging="360"/>
      </w:pPr>
      <w:rPr/>
    </w:lvl>
    <w:lvl w:ilvl="8" w:tentative="1">
      <w:start w:val="1"/>
      <w:numFmt w:val="lowerRoman"/>
      <w:isLgl w:val="off"/>
      <w:suff w:val="tab"/>
      <w:lvlText w:val="%9."/>
      <w:lvlJc w:val="right"/>
      <w:pPr>
        <w:ind w:left="6480" w:hanging="360"/>
      </w:pPr>
      <w:rPr/>
    </w:lvl>
  </w:abstractNum>
  <w:abstractNum w:abstractNumId="58">
    <w:multiLevelType w:val="hybridMultilevel"/>
    <w:lvl w:ilvl="0" w:tentative="0">
      <w:start w:val="1"/>
      <w:numFmt w:val="decimal"/>
      <w:isLgl w:val="off"/>
      <w:suff w:val="tab"/>
      <w:lvlText w:val="%1)"/>
      <w:lvlJc w:val="left"/>
      <w:pPr>
        <w:ind w:left="720" w:hanging="360"/>
      </w:pPr>
      <w:r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righ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righ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right"/>
      <w:pPr>
        <w:ind w:left="6480" w:hanging="360"/>
      </w:pPr>
    </w:lvl>
  </w:abstractNum>
  <w:num w:numId="1">
    <w:abstractNumId w:val="15"/>
  </w:num>
  <w:num w:numId="2">
    <w:abstractNumId w:val="4"/>
  </w:num>
  <w:num w:numId="3">
    <w:abstractNumId w:val="5"/>
  </w:num>
  <w:num w:numId="4">
    <w:abstractNumId w:val="21"/>
  </w:num>
  <w:num w:numId="5">
    <w:abstractNumId w:val="24"/>
  </w:num>
  <w:num w:numId="6">
    <w:abstractNumId w:val="53"/>
  </w:num>
  <w:num w:numId="7">
    <w:abstractNumId w:val="13"/>
  </w:num>
  <w:num w:numId="8">
    <w:abstractNumId w:val="43"/>
  </w:num>
  <w:num w:numId="9">
    <w:abstractNumId w:val="50"/>
  </w:num>
  <w:num w:numId="10">
    <w:abstractNumId w:val="20"/>
  </w:num>
  <w:num w:numId="11">
    <w:abstractNumId w:val="2"/>
  </w:num>
  <w:num w:numId="12">
    <w:abstractNumId w:val="28"/>
  </w:num>
  <w:num w:numId="13">
    <w:abstractNumId w:val="34"/>
  </w:num>
  <w:num w:numId="14">
    <w:abstractNumId w:val="40"/>
  </w:num>
  <w:num w:numId="15">
    <w:abstractNumId w:val="19"/>
  </w:num>
  <w:num w:numId="16">
    <w:abstractNumId w:val="51"/>
  </w:num>
  <w:num w:numId="17">
    <w:abstractNumId w:val="25"/>
  </w:num>
  <w:num w:numId="18">
    <w:abstractNumId w:val="29"/>
  </w:num>
  <w:num w:numId="19">
    <w:abstractNumId w:val="30"/>
  </w:num>
  <w:num w:numId="20">
    <w:abstractNumId w:val="22"/>
  </w:num>
  <w:num w:numId="21">
    <w:abstractNumId w:val="6"/>
  </w:num>
  <w:num w:numId="22">
    <w:abstractNumId w:val="42"/>
  </w:num>
  <w:num w:numId="23">
    <w:abstractNumId w:val="1"/>
  </w:num>
  <w:num w:numId="24">
    <w:abstractNumId w:val="49"/>
  </w:num>
  <w:num w:numId="25">
    <w:abstractNumId w:val="17"/>
  </w:num>
  <w:num w:numId="26">
    <w:abstractNumId w:val="38"/>
  </w:num>
  <w:num w:numId="27">
    <w:abstractNumId w:val="14"/>
  </w:num>
  <w:num w:numId="28">
    <w:abstractNumId w:val="33"/>
  </w:num>
  <w:num w:numId="29">
    <w:abstractNumId w:val="39"/>
  </w:num>
  <w:num w:numId="30">
    <w:abstractNumId w:val="10"/>
  </w:num>
  <w:num w:numId="31">
    <w:abstractNumId w:val="27"/>
  </w:num>
  <w:num w:numId="32">
    <w:abstractNumId w:val="3"/>
  </w:num>
  <w:num w:numId="33">
    <w:abstractNumId w:val="23"/>
  </w:num>
  <w:num w:numId="34">
    <w:abstractNumId w:val="52"/>
  </w:num>
  <w:num w:numId="35">
    <w:abstractNumId w:val="26"/>
  </w:num>
  <w:num w:numId="36">
    <w:abstractNumId w:val="35"/>
  </w:num>
  <w:num w:numId="37">
    <w:abstractNumId w:val="0"/>
  </w:num>
  <w:num w:numId="38">
    <w:abstractNumId w:val="48"/>
  </w:num>
  <w:num w:numId="39">
    <w:abstractNumId w:val="45"/>
  </w:num>
  <w:num w:numId="40">
    <w:abstractNumId w:val="18"/>
  </w:num>
  <w:num w:numId="41">
    <w:abstractNumId w:val="41"/>
  </w:num>
  <w:num w:numId="42">
    <w:abstractNumId w:val="32"/>
  </w:num>
  <w:num w:numId="43">
    <w:abstractNumId w:val="12"/>
  </w:num>
  <w:num w:numId="44">
    <w:abstractNumId w:val="55"/>
  </w:num>
  <w:num w:numId="45">
    <w:abstractNumId w:val="56"/>
  </w:num>
  <w:num w:numId="46">
    <w:abstractNumId w:val="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E2E9F"/>
    <w:rsid w:val="0000151D"/>
    <w:rsid w:val="0003522D"/>
    <w:rsid w:val="00037B25"/>
    <w:rsid w:val="000565A9"/>
    <w:rsid w:val="00073A30"/>
    <w:rsid w:val="000C2537"/>
    <w:rsid w:val="000E4783"/>
    <w:rsid w:val="001A5118"/>
    <w:rsid w:val="001D246C"/>
    <w:rsid w:val="001E3426"/>
    <w:rsid w:val="001F7CEE"/>
    <w:rsid w:val="0021753D"/>
    <w:rsid w:val="00233ECD"/>
    <w:rsid w:val="002463AA"/>
    <w:rsid w:val="002864DA"/>
    <w:rsid w:val="00296D41"/>
    <w:rsid w:val="002A2ADF"/>
    <w:rsid w:val="002C23FD"/>
    <w:rsid w:val="002F2AD4"/>
    <w:rsid w:val="002F2EEC"/>
    <w:rsid w:val="002F53C5"/>
    <w:rsid w:val="00351F30"/>
    <w:rsid w:val="00385A43"/>
    <w:rsid w:val="003D2B8E"/>
    <w:rsid w:val="003E135E"/>
    <w:rsid w:val="0040798D"/>
    <w:rsid w:val="004209E8"/>
    <w:rsid w:val="004536D6"/>
    <w:rsid w:val="0049310B"/>
    <w:rsid w:val="004F1038"/>
    <w:rsid w:val="004F234C"/>
    <w:rsid w:val="0053070D"/>
    <w:rsid w:val="0056038C"/>
    <w:rsid w:val="00565615"/>
    <w:rsid w:val="005D6059"/>
    <w:rsid w:val="005F025B"/>
    <w:rsid w:val="0063274D"/>
    <w:rsid w:val="006E2E9F"/>
    <w:rsid w:val="00736C7B"/>
    <w:rsid w:val="00780E9D"/>
    <w:rsid w:val="007D278F"/>
    <w:rsid w:val="007D5C1F"/>
    <w:rsid w:val="00875FB3"/>
    <w:rsid w:val="00883666"/>
    <w:rsid w:val="00996226"/>
    <w:rsid w:val="00AF1DF9"/>
    <w:rsid w:val="00B6189D"/>
    <w:rsid w:val="00B678A3"/>
    <w:rsid w:val="00BD1488"/>
    <w:rsid w:val="00C07EA8"/>
    <w:rsid w:val="00C63826"/>
    <w:rsid w:val="00CB450F"/>
    <w:rsid w:val="00CC7583"/>
    <w:rsid w:val="00CD6FFE"/>
    <w:rsid w:val="00CE6DC7"/>
    <w:rsid w:val="00CF07B2"/>
    <w:rsid w:val="00D107BE"/>
    <w:rsid w:val="00D31063"/>
    <w:rsid w:val="00D55414"/>
    <w:rsid w:val="00D57910"/>
    <w:rsid w:val="00E210A5"/>
    <w:rsid w:val="00E51B2F"/>
    <w:rsid w:val="00E55B11"/>
    <w:rsid w:val="00E662E7"/>
    <w:rsid w:val="00EB7AE6"/>
    <w:rsid w:val="00EC250F"/>
    <w:rsid w:val="00EF10C5"/>
    <w:rsid w:val="00F018D3"/>
    <w:rsid w:val="00F22E2D"/>
    <w:rsid w:val="00F4296D"/>
    <w:rsid w:val="00F62A99"/>
    <w:rsid w:val="00FB1B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footnotePr>
    <w:footnote w:id="0"/>
    <w:footnote w:id="1"/>
  </w:footnotePr>
  <w:endnotePr>
    <w:endnote w:id="0"/>
    <w:endnote w:id="1"/>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ru-RU" w:bidi="ar-SA" w:eastAsia="en-US"/>
      </w:rPr>
    </w:rPrDefault>
    <w:pPrDefault>
      <w:pPr>
        <w:spacing w:beforeAutospacing="0" w:after="160" w:afterAutospacing="0" w:line="259" w:lineRule="auto"/>
      </w:pPr>
    </w:pPrDefault>
  </w:docDefaults>
  <w:style w:type="paragraph" w:default="1" w:styleId="Normal">
    <w:name w:val="Normal"/>
    <w:uiPriority w:val="99"/>
    <w:qFormat w:val="on"/>
  </w:style>
  <w:style w:type="paragraph" w:styleId="Heading1">
    <w:name w:val="Heading 1"/>
    <w:basedOn w:val="Normal"/>
    <w:next w:val="Normal"/>
    <w:link w:val="Заголовок1Знак"/>
    <w:uiPriority w:val="9"/>
    <w:qFormat w:val="on"/>
    <w:pPr>
      <w:keepNext w:val="on"/>
      <w:keepLines w:val="on"/>
      <w:spacing w:before="240" w:beforeAutospacing="0" w:after="0" w:afterAutospacing="0"/>
    </w:pPr>
    <w:rPr>
      <w:rFonts w:asciiTheme="majorHAnsi" w:cstheme="majorBidi" w:eastAsiaTheme="majorEastAsia" w:hAnsiTheme="majorHAnsi"/>
      <w:color w:val="2f5395" w:themeColor="accent1" w:themeShade="bf"/>
      <w:sz w:val="32"/>
      <w:szCs w:val="32"/>
    </w:rPr>
  </w:style>
  <w:style w:type="paragraph" w:styleId="Heading2">
    <w:name w:val="Heading 2"/>
    <w:link w:val="Заголовок2Знак"/>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Заголовок3Знак"/>
    <w:uiPriority w:val="9"/>
    <w:semiHidden w:val="on"/>
    <w:unhideWhenUsed w:val="on"/>
    <w:qFormat w:val="on"/>
    <w:pPr>
      <w:keepNext w:val="on"/>
      <w:keepLines w:val="on"/>
      <w:spacing w:before="40" w:beforeAutospacing="0" w:after="0" w:afterAutospacing="0"/>
    </w:pPr>
    <w:rPr>
      <w:rFonts w:asciiTheme="majorHAnsi" w:cstheme="majorBidi" w:eastAsiaTheme="majorEastAsia" w:hAnsiTheme="majorHAnsi"/>
      <w:color w:val="1f3763" w:themeColor="accent1" w:themeShade="7f"/>
      <w:sz w:val="24"/>
      <w:szCs w:val="24"/>
    </w:rPr>
  </w:style>
  <w:style w:type="paragraph" w:styleId="Heading4">
    <w:name w:val="Heading 4"/>
    <w:link w:val="Заголовок4Знак"/>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i/>
      <w:iCs/>
      <w:color w:val="4472c4" w:themeColor="accent1"/>
    </w:rPr>
  </w:style>
  <w:style w:type="paragraph" w:styleId="Heading5">
    <w:name w:val="Heading 5"/>
    <w:link w:val="Заголовок5Знак"/>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1f3763" w:themeColor="accent1" w:themeShade="7f"/>
    </w:rPr>
  </w:style>
  <w:style w:type="paragraph" w:styleId="Heading6">
    <w:name w:val="Heading 6"/>
    <w:link w:val="Заголовок6Знак"/>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1f3763" w:themeColor="accent1" w:themeShade="7f"/>
    </w:rPr>
  </w:style>
  <w:style w:type="paragraph" w:styleId="Heading7">
    <w:name w:val="Heading 7"/>
    <w:link w:val="Заголовок7Знак"/>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link w:val="Заголовок8Знак"/>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link w:val="Заголовок9Знак"/>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Heading2Char">
    <w:name w:val="Heading 2 Char"/>
    <w:uiPriority w:val="9"/>
    <w:rPr>
      <w:rFonts w:asciiTheme="majorHAnsi" w:cstheme="majorBidi" w:eastAsiaTheme="majorEastAsia" w:hAnsiTheme="majorHAnsi"/>
      <w:b/>
      <w:bCs/>
      <w:color w:val="4472c4" w:themeColor="accent1"/>
      <w:sz w:val="26"/>
      <w:szCs w:val="26"/>
    </w:rPr>
  </w:style>
  <w:style w:type="character" w:customStyle="1" w:styleId="Heading4Char">
    <w:name w:val="Heading 4 Char"/>
    <w:uiPriority w:val="9"/>
    <w:rPr>
      <w:rFonts w:asciiTheme="majorHAnsi" w:cstheme="majorBidi" w:eastAsiaTheme="majorEastAsia" w:hAnsiTheme="majorHAnsi"/>
      <w:b/>
      <w:bCs/>
      <w:i/>
      <w:iCs/>
      <w:color w:val="4472c4" w:themeColor="accent1"/>
    </w:rPr>
  </w:style>
  <w:style w:type="character" w:customStyle="1" w:styleId="Heading5Char">
    <w:name w:val="Heading 5 Char"/>
    <w:uiPriority w:val="9"/>
    <w:rPr>
      <w:rFonts w:asciiTheme="majorHAnsi" w:cstheme="majorBidi" w:eastAsiaTheme="majorEastAsia" w:hAnsiTheme="majorHAnsi"/>
      <w:color w:val="1f3763" w:themeColor="accent1" w:themeShade="7f"/>
    </w:rPr>
  </w:style>
  <w:style w:type="character" w:customStyle="1" w:styleId="Heading6Char">
    <w:name w:val="Heading 6 Char"/>
    <w:uiPriority w:val="9"/>
    <w:rPr>
      <w:rFonts w:asciiTheme="majorHAnsi" w:cstheme="majorBidi" w:eastAsiaTheme="majorEastAsia" w:hAnsiTheme="majorHAnsi"/>
      <w:i/>
      <w:iCs/>
      <w:color w:val="1f3763"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333f4f"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FootnoteTextChar">
    <w:name w:val="Footnote Text Char"/>
    <w:uiPriority w:val="99"/>
    <w:semiHidden w:val="on"/>
    <w:rPr>
      <w:sz w:val="20"/>
      <w:szCs w:val="20"/>
    </w:rPr>
  </w:style>
  <w:style w:type="character" w:customStyle="1" w:styleId="EndnoteTextChar">
    <w:name w:val="Endnote Text Char"/>
    <w:uiPriority w:val="99"/>
    <w:semiHidden w:val="on"/>
    <w:rPr>
      <w:sz w:val="20"/>
      <w:szCs w:val="20"/>
    </w:rPr>
  </w:style>
  <w:style w:type="character" w:customStyle="1" w:styleId="PlainTextChar">
    <w:name w:val="Plain Text Char"/>
    <w:uiPriority w:val="99"/>
    <w:rPr>
      <w:rFonts w:ascii="Courier New" w:cs="Courier New" w:hAnsi="Courier New"/>
      <w:sz w:val="21"/>
      <w:szCs w:val="21"/>
    </w:rPr>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uiPriority w:val="9"/>
    <w:rPr>
      <w:rFonts w:asciiTheme="majorHAnsi" w:cstheme="majorBidi" w:eastAsiaTheme="majorEastAsia" w:hAnsiTheme="majorHAnsi"/>
      <w:b/>
      <w:bCs/>
      <w:color w:val="2f5395" w:themeColor="accent1" w:themeShade="bf"/>
      <w:sz w:val="28"/>
      <w:szCs w:val="28"/>
    </w:rPr>
  </w:style>
  <w:style w:type="character" w:customStyle="1" w:styleId="Заголовок2Знак">
    <w:name w:val="Заголовок 2 Знак"/>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uiPriority w:val="9"/>
    <w:rPr>
      <w:rFonts w:asciiTheme="majorHAnsi" w:cstheme="majorBidi" w:eastAsiaTheme="majorEastAsia" w:hAnsiTheme="majorHAnsi"/>
      <w:b/>
      <w:bCs/>
      <w:color w:val="4472c4" w:themeColor="accent1"/>
    </w:rPr>
  </w:style>
  <w:style w:type="character" w:customStyle="1" w:styleId="Заголовок4Знак">
    <w:name w:val="Заголовок 4 Знак"/>
    <w:link w:val="Heading4"/>
    <w:uiPriority w:val="9"/>
    <w:rPr>
      <w:rFonts w:asciiTheme="majorHAnsi" w:cstheme="majorBidi" w:eastAsiaTheme="majorEastAsia" w:hAnsiTheme="majorHAnsi"/>
      <w:b/>
      <w:bCs/>
      <w:i/>
      <w:iCs/>
      <w:color w:val="4472c4" w:themeColor="accent1"/>
    </w:rPr>
  </w:style>
  <w:style w:type="character" w:customStyle="1" w:styleId="Заголовок5Знак">
    <w:name w:val="Заголовок 5 Знак"/>
    <w:link w:val="Heading5"/>
    <w:uiPriority w:val="9"/>
    <w:rPr>
      <w:rFonts w:asciiTheme="majorHAnsi" w:cstheme="majorBidi" w:eastAsiaTheme="majorEastAsia" w:hAnsiTheme="majorHAnsi"/>
      <w:color w:val="1f3763" w:themeColor="accent1" w:themeShade="7f"/>
    </w:rPr>
  </w:style>
  <w:style w:type="character" w:customStyle="1" w:styleId="Заголовок6Знак">
    <w:name w:val="Заголовок 6 Знак"/>
    <w:link w:val="Heading6"/>
    <w:uiPriority w:val="9"/>
    <w:rPr>
      <w:rFonts w:asciiTheme="majorHAnsi" w:cstheme="majorBidi" w:eastAsiaTheme="majorEastAsia" w:hAnsiTheme="majorHAnsi"/>
      <w:i/>
      <w:iCs/>
      <w:color w:val="1f3763" w:themeColor="accent1" w:themeShade="7f"/>
    </w:rPr>
  </w:style>
  <w:style w:type="character" w:customStyle="1" w:styleId="Заголовок7Знак">
    <w:name w:val="Заголовок 7 Знак"/>
    <w:link w:val="Heading7"/>
    <w:uiPriority w:val="9"/>
    <w:rPr>
      <w:rFonts w:asciiTheme="majorHAnsi" w:cstheme="majorBidi" w:eastAsiaTheme="majorEastAsia" w:hAnsiTheme="majorHAnsi"/>
      <w:i/>
      <w:iCs/>
      <w:color w:val="404040" w:themeColor="text1" w:themeTint="bf"/>
    </w:rPr>
  </w:style>
  <w:style w:type="character" w:customStyle="1" w:styleId="Заголовок8Знак">
    <w:name w:val="Заголовок 8 Знак"/>
    <w:link w:val="Heading8"/>
    <w:uiPriority w:val="9"/>
    <w:rPr>
      <w:rFonts w:asciiTheme="majorHAnsi" w:cstheme="majorBidi" w:eastAsiaTheme="majorEastAsia" w:hAnsiTheme="majorHAnsi"/>
      <w:color w:val="404040" w:themeColor="text1" w:themeTint="bf"/>
      <w:sz w:val="20"/>
      <w:szCs w:val="20"/>
    </w:rPr>
  </w:style>
  <w:style w:type="character" w:customStyle="1" w:styleId="Заголовок9Знак">
    <w:name w:val="Заголовок 9 Знак"/>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link w:val="НазваниеЗнак"/>
    <w:uiPriority w:val="10"/>
    <w:qFormat w:val="on"/>
    <w:pPr>
      <w:pBdr>
        <w:bottom w:val="single" w:color="4472c4" w:themeColor="accent1" w:sz="8" w:space="4"/>
      </w:pBdr>
      <w:spacing w:beforeAutospacing="0" w:after="300" w:afterAutospacing="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НазваниеЗнак">
    <w:name w:val="Название Знак"/>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link w:val="ПодзаголовокЗнак"/>
    <w:uiPriority w:val="11"/>
    <w:qFormat w:val="on"/>
    <w:rPr>
      <w:rFonts w:asciiTheme="majorHAnsi" w:cstheme="majorBidi" w:eastAsiaTheme="majorEastAsia" w:hAnsiTheme="majorHAnsi"/>
      <w:i/>
      <w:iCs/>
      <w:color w:val="4472c4" w:themeColor="accent1"/>
      <w:spacing w:val="15"/>
      <w:sz w:val="24"/>
      <w:szCs w:val="24"/>
    </w:rPr>
  </w:style>
  <w:style w:type="character" w:customStyle="1" w:styleId="ПодзаголовокЗнак">
    <w:name w:val="Подзаголовок Знак"/>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472c4" w:themeColor="accent1"/>
    </w:rPr>
  </w:style>
  <w:style w:type="paragraph" w:styleId="Quote">
    <w:name w:val="Quote"/>
    <w:link w:val="Цитата2Знак"/>
    <w:uiPriority w:val="29"/>
    <w:qFormat w:val="on"/>
    <w:rPr>
      <w:i/>
      <w:iCs/>
      <w:color w:val="000000" w:themeColor="text1"/>
    </w:rPr>
  </w:style>
  <w:style w:type="character" w:customStyle="1" w:styleId="Цитата2Знак">
    <w:name w:val="Цитата 2 Знак"/>
    <w:link w:val="Quote"/>
    <w:uiPriority w:val="29"/>
    <w:rPr>
      <w:i/>
      <w:iCs/>
      <w:color w:val="000000" w:themeColor="text1"/>
    </w:rPr>
  </w:style>
  <w:style w:type="paragraph" w:styleId="IntenseQuote">
    <w:name w:val="Intense Quote"/>
    <w:link w:val="ВыделеннаяцитатаЗнак"/>
    <w:uiPriority w:val="30"/>
    <w:qFormat w:val="on"/>
    <w:pPr>
      <w:pBdr>
        <w:bottom w:val="single" w:color="4472c4" w:themeColor="accent1" w:sz="4" w:space="4"/>
      </w:pBdr>
      <w:spacing w:before="200" w:beforeAutospacing="0" w:after="280" w:afterAutospacing="0"/>
      <w:ind w:left="936" w:right="936"/>
    </w:pPr>
    <w:rPr>
      <w:b/>
      <w:bCs/>
      <w:i/>
      <w:iCs/>
      <w:color w:val="4472c4" w:themeColor="accent1"/>
    </w:rPr>
  </w:style>
  <w:style w:type="character" w:customStyle="1" w:styleId="ВыделеннаяцитатаЗнак">
    <w:name w:val="Выделенная цитата Знак"/>
    <w:link w:val="IntenseQuote"/>
    <w:uiPriority w:val="30"/>
    <w:rPr>
      <w:b/>
      <w:bCs/>
      <w:i/>
      <w:iCs/>
      <w:color w:val="4472c4" w:themeColor="accent1"/>
    </w:rPr>
  </w:style>
  <w:style w:type="character" w:styleId="SubtleReference">
    <w:name w:val="Subtle Reference"/>
    <w:uiPriority w:val="31"/>
    <w:qFormat w:val="on"/>
    <w:rPr>
      <w:smallCaps/>
      <w:color w:val="ed7d31" w:themeColor="accent2"/>
      <w:u w:val="single"/>
    </w:rPr>
  </w:style>
  <w:style w:type="character" w:styleId="IntenseReference">
    <w:name w:val="Intense Reference"/>
    <w:uiPriority w:val="32"/>
    <w:qFormat w:val="on"/>
    <w:rPr>
      <w:b/>
      <w:bCs/>
      <w:smallCaps/>
      <w:color w:val="ed7d31" w:themeColor="accent2"/>
      <w:spacing w:val="5"/>
      <w:u w:val="single"/>
    </w:rPr>
  </w:style>
  <w:style w:type="character" w:styleId="BookTitle">
    <w:name w:val="Book Title"/>
    <w:uiPriority w:val="33"/>
    <w:qFormat w:val="on"/>
    <w:rPr>
      <w:b/>
      <w:bCs/>
      <w:smallCaps/>
      <w:spacing w:val="5"/>
    </w:rPr>
  </w:style>
  <w:style w:type="paragraph" w:styleId="Footnotetext">
    <w:name w:val="Footnote text"/>
    <w:link w:val="ТекстсноскиЗнак"/>
    <w:uiPriority w:val="99"/>
    <w:semiHidden w:val="on"/>
    <w:unhideWhenUsed w:val="on"/>
    <w:pPr>
      <w:spacing w:beforeAutospacing="0" w:after="0" w:afterAutospacing="0" w:line="240" w:lineRule="auto"/>
    </w:pPr>
    <w:rPr>
      <w:sz w:val="20"/>
      <w:szCs w:val="20"/>
    </w:rPr>
  </w:style>
  <w:style w:type="character" w:customStyle="1" w:styleId="ТекстсноскиЗнак">
    <w:name w:val="Текст сноски Знак"/>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ТекстконцевойсноскиЗнак"/>
    <w:uiPriority w:val="99"/>
    <w:semiHidden w:val="on"/>
    <w:unhideWhenUsed w:val="on"/>
    <w:pPr>
      <w:spacing w:beforeAutospacing="0" w:after="0" w:afterAutospacing="0" w:line="240" w:lineRule="auto"/>
    </w:pPr>
    <w:rPr>
      <w:sz w:val="20"/>
      <w:szCs w:val="20"/>
    </w:rPr>
  </w:style>
  <w:style w:type="character" w:customStyle="1" w:styleId="ТекстконцевойсноскиЗнак">
    <w:name w:val="Текст концевой сноски Знак"/>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character" w:styleId="FollowedHyperlink">
    <w:name w:val="FollowedHyperlink"/>
    <w:uiPriority w:val="99"/>
    <w:semiHidden w:val="on"/>
    <w:unhideWhenUsed w:val="on"/>
    <w:rPr>
      <w:color w:val="954f72" w:themeColor="followedHyperlink"/>
      <w:u w:val="single"/>
    </w:rPr>
  </w:style>
  <w:style w:type="paragraph" w:styleId="PlainText">
    <w:name w:val="Plain Text"/>
    <w:link w:val="ТекстЗнак"/>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ТекстЗнак">
    <w:name w:val="Текст Знак"/>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Caption">
    <w:name w:val="Caption"/>
    <w:uiPriority w:val="35"/>
    <w:unhideWhenUsed w:val="on"/>
    <w:qFormat w:val="on"/>
    <w:pPr>
      <w:spacing w:beforeAutospacing="0" w:after="200" w:afterAutospacing="0" w:line="240" w:lineRule="auto"/>
    </w:pPr>
    <w:rPr>
      <w:i/>
      <w:iCs/>
      <w:color w:val="44546a" w:themeColor="text2"/>
      <w:sz w:val="18"/>
      <w:szCs w:val="18"/>
    </w:rPr>
  </w:style>
  <w:style w:type="table" w:styleId="TableGrid">
    <w:name w:val="Table Grid"/>
    <w:basedOn w:val="NormalTable"/>
    <w:uiPriority w:val="39"/>
    <w:pPr>
      <w:spacing w:beforeAutospacing="0" w:after="0" w:afterAutospacing="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Strong">
    <w:name w:val="Strong"/>
    <w:basedOn w:val="DefaultParagraphFont"/>
    <w:uiPriority w:val="22"/>
    <w:qFormat w:val="on"/>
    <w:rPr>
      <w:b/>
      <w:bCs/>
    </w:rPr>
  </w:style>
  <w:style w:type="paragraph" w:styleId="Header">
    <w:name w:val="Header"/>
    <w:basedOn w:val="Normal"/>
    <w:link w:val="ВерхнийколонтитулЗнак"/>
    <w:uiPriority w:val="99"/>
    <w:unhideWhenUsed w:val="on"/>
    <w:pPr>
      <w:tabs>
        <w:tab w:val="center" w:pos="4677"/>
        <w:tab w:val="right" w:pos="9355"/>
      </w:tabs>
      <w:spacing w:beforeAutospacing="0" w:after="0" w:afterAutospacing="0" w:line="240" w:lineRule="auto"/>
    </w:pPr>
  </w:style>
  <w:style w:type="character" w:customStyle="1" w:styleId="ВерхнийколонтитулЗнак">
    <w:name w:val="Верхний колонтитул Знак"/>
    <w:basedOn w:val="DefaultParagraphFont"/>
    <w:link w:val="Header"/>
    <w:uiPriority w:val="99"/>
  </w:style>
  <w:style w:type="paragraph" w:styleId="Footer">
    <w:name w:val="Footer"/>
    <w:basedOn w:val="Normal"/>
    <w:link w:val="НижнийколонтитулЗнак"/>
    <w:uiPriority w:val="99"/>
    <w:unhideWhenUsed w:val="on"/>
    <w:pPr>
      <w:tabs>
        <w:tab w:val="center" w:pos="4677"/>
        <w:tab w:val="right" w:pos="9355"/>
      </w:tabs>
      <w:spacing w:beforeAutospacing="0" w:after="0" w:afterAutospacing="0" w:line="240" w:lineRule="auto"/>
    </w:pPr>
  </w:style>
  <w:style w:type="character" w:customStyle="1" w:styleId="НижнийколонтитулЗнак">
    <w:name w:val="Нижний колонтитул Знак"/>
    <w:basedOn w:val="DefaultParagraphFont"/>
    <w:link w:val="Footer"/>
    <w:uiPriority w:val="99"/>
  </w:style>
  <w:style w:type="character" w:customStyle="1" w:styleId="Заголовок1Знак">
    <w:name w:val="Заголовок 1 Знак"/>
    <w:basedOn w:val="DefaultParagraphFont"/>
    <w:link w:val="Heading1"/>
    <w:uiPriority w:val="9"/>
    <w:rPr>
      <w:rFonts w:asciiTheme="majorHAnsi" w:cstheme="majorBidi" w:eastAsiaTheme="majorEastAsia" w:hAnsiTheme="majorHAnsi"/>
      <w:color w:val="2f5395" w:themeColor="accent1" w:themeShade="bf"/>
      <w:sz w:val="32"/>
      <w:szCs w:val="32"/>
    </w:rPr>
  </w:style>
  <w:style w:type="paragraph" w:styleId="ListParagraph">
    <w:name w:val="List Paragraph"/>
    <w:basedOn w:val="Normal"/>
    <w:uiPriority w:val="34"/>
    <w:qFormat w:val="on"/>
    <w:pPr>
      <w:ind w:left="720"/>
      <w:contextualSpacing w:val="on"/>
    </w:pPr>
  </w:style>
  <w:style w:type="character" w:customStyle="1" w:styleId="Заголовок3Знак">
    <w:name w:val="Заголовок 3 Знак"/>
    <w:basedOn w:val="DefaultParagraphFont"/>
    <w:link w:val="Heading3"/>
    <w:uiPriority w:val="9"/>
    <w:semiHidden w:val="on"/>
    <w:rPr>
      <w:rFonts w:asciiTheme="majorHAnsi" w:cstheme="majorBidi" w:eastAsiaTheme="majorEastAsia" w:hAnsiTheme="majorHAnsi"/>
      <w:color w:val="1f3763" w:themeColor="accent1" w:themeShade="7f"/>
      <w:sz w:val="24"/>
      <w:szCs w:val="24"/>
    </w:rPr>
  </w:style>
  <w:style w:type="table" w:customStyle="1" w:styleId="GridTableLight">
    <w:name w:val="Grid Table Light"/>
    <w:basedOn w:val="NormalTable"/>
    <w:uiPriority w:val="40"/>
    <w:pPr>
      <w:spacing w:beforeAutospacing="0" w:after="0" w:afterAutospacing="0" w:line="240" w:lineRule="auto"/>
    </w:pPr>
    <w:tblPr>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 w:type="paragraph" w:styleId="TOCHeading">
    <w:name w:val="TOC Heading"/>
    <w:basedOn w:val="Heading1"/>
    <w:next w:val="Normal"/>
    <w:uiPriority w:val="39"/>
    <w:unhideWhenUsed w:val="on"/>
    <w:qFormat w:val="on"/>
    <w:rPr>
      <w:lang w:eastAsia="ru-RU"/>
    </w:rPr>
  </w:style>
  <w:style w:type="paragraph" w:styleId="Toc1">
    <w:name w:val="Toc 1"/>
    <w:basedOn w:val="Normal"/>
    <w:next w:val="Normal"/>
    <w:uiPriority w:val="39"/>
    <w:unhideWhenUsed w:val="on"/>
    <w:pPr>
      <w:spacing w:beforeAutospacing="0" w:after="100" w:afterAutospacing="0"/>
    </w:pPr>
  </w:style>
  <w:style w:type="paragraph" w:styleId="Toc3">
    <w:name w:val="Toc 3"/>
    <w:basedOn w:val="Normal"/>
    <w:next w:val="Normal"/>
    <w:uiPriority w:val="39"/>
    <w:unhideWhenUsed w:val="on"/>
    <w:pPr>
      <w:spacing w:beforeAutospacing="0" w:after="100" w:afterAutospacing="0"/>
      <w:ind w:left="440"/>
    </w:pPr>
  </w:style>
  <w:style w:type="character" w:styleId="Hyperlink">
    <w:name w:val="Hyperlink"/>
    <w:basedOn w:val="DefaultParagraphFont"/>
    <w:uiPriority w:val="99"/>
    <w:unhideWhenUsed w:val="on"/>
    <w:rPr>
      <w:color w:val="0563c1" w:themeColor="hyperlink"/>
      <w:u w:val="single"/>
    </w:rPr>
  </w:style>
  <w:style w:type="paragraph" w:customStyle="1" w:styleId="Ds-markdown-paragraph">
    <w:name w:val="Ds-markdown-paragraph"/>
    <w:basedOn w:val="Normal"/>
    <w:uiPriority w:val="99"/>
    <w:pPr>
      <w:spacing w:before="100" w:beforeAutospacing="0" w:after="100" w:afterAutospacing="0" w:line="240" w:lineRule="auto"/>
    </w:pPr>
    <w:rPr>
      <w:rFonts w:ascii="Times New Roman" w:cs="Times New Roman" w:eastAsia="Times New Roman" w:hAnsi="Times New Roman"/>
      <w:sz w:val="24"/>
      <w:szCs w:val="24"/>
      <w:lang w:eastAsia="ru-RU"/>
    </w:rPr>
  </w:style>
  <w:style w:type="paragraph" w:styleId="BalloonText">
    <w:name w:val="Balloon Text"/>
    <w:basedOn w:val="Normal"/>
    <w:link w:val="ТекствыноскиЗнак"/>
    <w:uiPriority w:val="99"/>
    <w:semiHidden w:val="on"/>
    <w:unhideWhenUsed w:val="on"/>
    <w:pPr>
      <w:spacing w:beforeAutospacing="0" w:after="0" w:afterAutospacing="0" w:line="240" w:lineRule="auto"/>
    </w:pPr>
    <w:rPr>
      <w:rFonts w:ascii="Tahoma" w:cs="Tahoma" w:hAnsi="Tahoma"/>
      <w:sz w:val="16"/>
      <w:szCs w:val="16"/>
    </w:rPr>
  </w:style>
  <w:style w:type="character" w:customStyle="1" w:styleId="ТекствыноскиЗнак">
    <w:name w:val="Текст выноски Знак"/>
    <w:basedOn w:val="DefaultParagraphFont"/>
    <w:link w:val="BalloonText"/>
    <w:uiPriority w:val="99"/>
    <w:semiHidden w:val="on"/>
    <w:rPr>
      <w:rFonts w:ascii="Tahoma" w:cs="Tahoma" w:hAnsi="Tahoma"/>
      <w:sz w:val="16"/>
      <w:szCs w:val="16"/>
    </w:rPr>
  </w:style>
  <w:style w:type="table" w:customStyle="1" w:styleId="A5">
    <w:name w:val="A5"/>
    <w:basedOn w:val="TableNormal"/>
    <w:uiPriority w:val="99"/>
    <w:tblPr>
      <w:tblStyleRowBandSize w:val="1"/>
      <w:tblStyleColBandSize w:val="1"/>
      <w:tblCellMar>
        <w:top w:w="0" w:type="dxa"/>
        <w:left w:w="115" w:type="dxa"/>
        <w:bottom w:w="0" w:type="dxa"/>
        <w:right w:w="115" w:type="dxa"/>
      </w:tblCellMar>
    </w:tblPr>
  </w:style>
  <w:style w:type="table" w:customStyle="1" w:styleId="TableNormal">
    <w:name w:val="TableNormal"/>
    <w:uiPriority w:val="99"/>
    <w:tblPr>
      <w:tblCellMar>
        <w:top w:w="100" w:type="dxa"/>
        <w:left w:w="100" w:type="dxa"/>
        <w:bottom w:w="100" w:type="dxa"/>
        <w:right w:w="100" w:type="dxa"/>
      </w:tblCellMar>
    </w:tblPr>
  </w:style>
  <w:style w:type="table" w:customStyle="1" w:styleId="A6">
    <w:name w:val="A6"/>
    <w:basedOn w:val="TableNormal"/>
    <w:uiPriority w:val="99"/>
    <w:tblPr>
      <w:tblStyleRowBandSize w:val="1"/>
      <w:tblStyleColBandSize w:val="1"/>
      <w:tblCellMar>
        <w:top w:w="0" w:type="dxa"/>
        <w:left w:w="115" w:type="dxa"/>
        <w:bottom w:w="0" w:type="dxa"/>
        <w:right w:w="115" w:type="dxa"/>
      </w:tblCellMar>
    </w:tblPr>
  </w:style>
  <w:style w:type="table" w:customStyle="1" w:styleId="A7">
    <w:name w:val="A7"/>
    <w:basedOn w:val="TableNormal"/>
    <w:uiPriority w:val="99"/>
    <w:tblPr>
      <w:tblStyleRowBandSize w:val="1"/>
      <w:tblStyleColBandSize w:val="1"/>
      <w:tblCellMar>
        <w:top w:w="0" w:type="dxa"/>
        <w:left w:w="108" w:type="dxa"/>
        <w:bottom w:w="0" w:type="dxa"/>
        <w:right w:w="108" w:type="dxa"/>
      </w:tblCellMar>
    </w:tblPr>
  </w:style>
  <w:style w:type="paragraph" w:customStyle="1" w:styleId="Default">
    <w:name w:val="Default"/>
    <w:uiPriority w:val="99"/>
    <w:pPr>
      <w:suppressAutoHyphens w:val="on"/>
      <w:spacing w:beforeAutospacing="0" w:afterAutospacing="0" w:line="1" w:lineRule="atLeast"/>
      <w:ind w:left="-1" w:hanging="1"/>
    </w:pPr>
    <w:rPr>
      <w:rFonts w:ascii="Times New Roman" w:hAnsi="Times New Roman"/>
      <w:color w:val="000000"/>
      <w:position w:val="-1"/>
      <w:sz w:val="24"/>
      <w:szCs w:val="24"/>
      <w:lang w:eastAsia="en-US"/>
    </w:rPr>
  </w:style>
</w:styles>
</file>

<file path=word/webSettings.xml><?xml version="1.0" encoding="utf-8"?>
<w:webSettings xmlns:r="http://schemas.openxmlformats.org/officeDocument/2006/relationships" xmlns:w="http://schemas.openxmlformats.org/wordprocessingml/2006/main">
  <w:divs>
    <w:div w:id="56126003">
      <w:bodyDiv w:val="1"/>
      <w:marLeft w:val="0"/>
      <w:marRight w:val="0"/>
      <w:marTop w:val="0"/>
      <w:marBottom w:val="0"/>
      <w:divBdr>
        <w:top w:val="none" w:sz="0" w:space="0" w:color="auto"/>
        <w:left w:val="none" w:sz="0" w:space="0" w:color="auto"/>
        <w:bottom w:val="none" w:sz="0" w:space="0" w:color="auto"/>
        <w:right w:val="none" w:sz="0" w:space="0" w:color="auto"/>
      </w:divBdr>
    </w:div>
    <w:div w:id="59134924">
      <w:bodyDiv w:val="1"/>
      <w:marLeft w:val="0"/>
      <w:marRight w:val="0"/>
      <w:marTop w:val="0"/>
      <w:marBottom w:val="0"/>
      <w:divBdr>
        <w:top w:val="none" w:sz="0" w:space="0" w:color="auto"/>
        <w:left w:val="none" w:sz="0" w:space="0" w:color="auto"/>
        <w:bottom w:val="none" w:sz="0" w:space="0" w:color="auto"/>
        <w:right w:val="none" w:sz="0" w:space="0" w:color="auto"/>
      </w:divBdr>
      <w:divsChild>
        <w:div w:id="483089174">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63843807">
      <w:bodyDiv w:val="1"/>
      <w:marLeft w:val="0"/>
      <w:marRight w:val="0"/>
      <w:marTop w:val="0"/>
      <w:marBottom w:val="0"/>
      <w:divBdr>
        <w:top w:val="none" w:sz="0" w:space="0" w:color="auto"/>
        <w:left w:val="none" w:sz="0" w:space="0" w:color="auto"/>
        <w:bottom w:val="none" w:sz="0" w:space="0" w:color="auto"/>
        <w:right w:val="none" w:sz="0" w:space="0" w:color="auto"/>
      </w:divBdr>
    </w:div>
    <w:div w:id="122693256">
      <w:bodyDiv w:val="1"/>
      <w:marLeft w:val="0"/>
      <w:marRight w:val="0"/>
      <w:marTop w:val="0"/>
      <w:marBottom w:val="0"/>
      <w:divBdr>
        <w:top w:val="none" w:sz="0" w:space="0" w:color="auto"/>
        <w:left w:val="none" w:sz="0" w:space="0" w:color="auto"/>
        <w:bottom w:val="none" w:sz="0" w:space="0" w:color="auto"/>
        <w:right w:val="none" w:sz="0" w:space="0" w:color="auto"/>
      </w:divBdr>
    </w:div>
    <w:div w:id="188613651">
      <w:bodyDiv w:val="1"/>
      <w:marLeft w:val="0"/>
      <w:marRight w:val="0"/>
      <w:marTop w:val="0"/>
      <w:marBottom w:val="0"/>
      <w:divBdr>
        <w:top w:val="none" w:sz="0" w:space="0" w:color="auto"/>
        <w:left w:val="none" w:sz="0" w:space="0" w:color="auto"/>
        <w:bottom w:val="none" w:sz="0" w:space="0" w:color="auto"/>
        <w:right w:val="none" w:sz="0" w:space="0" w:color="auto"/>
      </w:divBdr>
      <w:divsChild>
        <w:div w:id="1436944331">
          <w:marLeft w:val="0"/>
          <w:marRight w:val="0"/>
          <w:marTop w:val="0"/>
          <w:marBottom w:val="0"/>
          <w:divBdr>
            <w:top w:val="none" w:sz="0" w:space="0" w:color="auto"/>
            <w:left w:val="none" w:sz="0" w:space="0" w:color="auto"/>
            <w:bottom w:val="none" w:sz="0" w:space="0" w:color="auto"/>
            <w:right w:val="none" w:sz="0" w:space="0" w:color="auto"/>
          </w:divBdr>
          <w:divsChild>
            <w:div w:id="1067874121">
              <w:marLeft w:val="0"/>
              <w:marRight w:val="0"/>
              <w:marTop w:val="0"/>
              <w:marBottom w:val="0"/>
              <w:divBdr>
                <w:top w:val="none" w:sz="0" w:space="0" w:color="auto"/>
                <w:left w:val="none" w:sz="0" w:space="0" w:color="auto"/>
                <w:bottom w:val="none" w:sz="0" w:space="0" w:color="auto"/>
                <w:right w:val="none" w:sz="0" w:space="0" w:color="auto"/>
              </w:divBdr>
              <w:divsChild>
                <w:div w:id="696856014">
                  <w:marLeft w:val="0"/>
                  <w:marRight w:val="0"/>
                  <w:marTop w:val="0"/>
                  <w:marBottom w:val="0"/>
                  <w:divBdr>
                    <w:top w:val="none" w:sz="0" w:space="0" w:color="auto"/>
                    <w:left w:val="none" w:sz="0" w:space="0" w:color="auto"/>
                    <w:bottom w:val="none" w:sz="0" w:space="0" w:color="auto"/>
                    <w:right w:val="none" w:sz="0" w:space="0" w:color="auto"/>
                  </w:divBdr>
                  <w:divsChild>
                    <w:div w:id="221186208">
                      <w:marLeft w:val="0"/>
                      <w:marRight w:val="0"/>
                      <w:marTop w:val="0"/>
                      <w:marBottom w:val="0"/>
                      <w:divBdr>
                        <w:top w:val="none" w:sz="0" w:space="0" w:color="auto"/>
                        <w:left w:val="none" w:sz="0" w:space="0" w:color="auto"/>
                        <w:bottom w:val="none" w:sz="0" w:space="0" w:color="auto"/>
                        <w:right w:val="none" w:sz="0" w:space="0" w:color="auto"/>
                      </w:divBdr>
                    </w:div>
                    <w:div w:id="1083380487">
                      <w:marLeft w:val="0"/>
                      <w:marRight w:val="0"/>
                      <w:marTop w:val="0"/>
                      <w:marBottom w:val="0"/>
                      <w:divBdr>
                        <w:top w:val="none" w:sz="0" w:space="0" w:color="auto"/>
                        <w:left w:val="none" w:sz="0" w:space="0" w:color="auto"/>
                        <w:bottom w:val="none" w:sz="0" w:space="0" w:color="auto"/>
                        <w:right w:val="none" w:sz="0" w:space="0" w:color="auto"/>
                      </w:divBdr>
                    </w:div>
                    <w:div w:id="183055840">
                      <w:marLeft w:val="0"/>
                      <w:marRight w:val="0"/>
                      <w:marTop w:val="0"/>
                      <w:marBottom w:val="0"/>
                      <w:divBdr>
                        <w:top w:val="none" w:sz="0" w:space="0" w:color="auto"/>
                        <w:left w:val="none" w:sz="0" w:space="0" w:color="auto"/>
                        <w:bottom w:val="none" w:sz="0" w:space="0" w:color="auto"/>
                        <w:right w:val="none" w:sz="0" w:space="0" w:color="auto"/>
                      </w:divBdr>
                    </w:div>
                    <w:div w:id="1736125135">
                      <w:marLeft w:val="0"/>
                      <w:marRight w:val="0"/>
                      <w:marTop w:val="0"/>
                      <w:marBottom w:val="0"/>
                      <w:divBdr>
                        <w:top w:val="none" w:sz="0" w:space="0" w:color="auto"/>
                        <w:left w:val="none" w:sz="0" w:space="0" w:color="auto"/>
                        <w:bottom w:val="none" w:sz="0" w:space="0" w:color="auto"/>
                        <w:right w:val="none" w:sz="0" w:space="0" w:color="auto"/>
                      </w:divBdr>
                    </w:div>
                    <w:div w:id="937643033">
                      <w:marLeft w:val="0"/>
                      <w:marRight w:val="0"/>
                      <w:marTop w:val="0"/>
                      <w:marBottom w:val="0"/>
                      <w:divBdr>
                        <w:top w:val="none" w:sz="0" w:space="0" w:color="auto"/>
                        <w:left w:val="none" w:sz="0" w:space="0" w:color="auto"/>
                        <w:bottom w:val="none" w:sz="0" w:space="0" w:color="auto"/>
                        <w:right w:val="none" w:sz="0" w:space="0" w:color="auto"/>
                      </w:divBdr>
                    </w:div>
                    <w:div w:id="461702218">
                      <w:marLeft w:val="0"/>
                      <w:marRight w:val="0"/>
                      <w:marTop w:val="0"/>
                      <w:marBottom w:val="0"/>
                      <w:divBdr>
                        <w:top w:val="none" w:sz="0" w:space="0" w:color="auto"/>
                        <w:left w:val="none" w:sz="0" w:space="0" w:color="auto"/>
                        <w:bottom w:val="none" w:sz="0" w:space="0" w:color="auto"/>
                        <w:right w:val="none" w:sz="0" w:space="0" w:color="auto"/>
                      </w:divBdr>
                    </w:div>
                    <w:div w:id="4387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554604">
      <w:bodyDiv w:val="1"/>
      <w:marLeft w:val="0"/>
      <w:marRight w:val="0"/>
      <w:marTop w:val="0"/>
      <w:marBottom w:val="0"/>
      <w:divBdr>
        <w:top w:val="none" w:sz="0" w:space="0" w:color="auto"/>
        <w:left w:val="none" w:sz="0" w:space="0" w:color="auto"/>
        <w:bottom w:val="none" w:sz="0" w:space="0" w:color="auto"/>
        <w:right w:val="none" w:sz="0" w:space="0" w:color="auto"/>
      </w:divBdr>
      <w:divsChild>
        <w:div w:id="1953515260">
          <w:marLeft w:val="0"/>
          <w:marRight w:val="0"/>
          <w:marTop w:val="0"/>
          <w:marBottom w:val="0"/>
          <w:divBdr>
            <w:top w:val="none" w:sz="0" w:space="0" w:color="auto"/>
            <w:left w:val="none" w:sz="0" w:space="0" w:color="auto"/>
            <w:bottom w:val="none" w:sz="0" w:space="0" w:color="auto"/>
            <w:right w:val="none" w:sz="0" w:space="0" w:color="auto"/>
          </w:divBdr>
        </w:div>
        <w:div w:id="116216626">
          <w:marLeft w:val="0"/>
          <w:marRight w:val="0"/>
          <w:marTop w:val="0"/>
          <w:marBottom w:val="0"/>
          <w:divBdr>
            <w:top w:val="none" w:sz="0" w:space="0" w:color="auto"/>
            <w:left w:val="none" w:sz="0" w:space="0" w:color="auto"/>
            <w:bottom w:val="none" w:sz="0" w:space="0" w:color="auto"/>
            <w:right w:val="none" w:sz="0" w:space="0" w:color="auto"/>
          </w:divBdr>
        </w:div>
      </w:divsChild>
    </w:div>
    <w:div w:id="243300849">
      <w:bodyDiv w:val="1"/>
      <w:marLeft w:val="0"/>
      <w:marRight w:val="0"/>
      <w:marTop w:val="0"/>
      <w:marBottom w:val="0"/>
      <w:divBdr>
        <w:top w:val="none" w:sz="0" w:space="0" w:color="auto"/>
        <w:left w:val="none" w:sz="0" w:space="0" w:color="auto"/>
        <w:bottom w:val="none" w:sz="0" w:space="0" w:color="auto"/>
        <w:right w:val="none" w:sz="0" w:space="0" w:color="auto"/>
      </w:divBdr>
    </w:div>
    <w:div w:id="277955646">
      <w:bodyDiv w:val="1"/>
      <w:marLeft w:val="0"/>
      <w:marRight w:val="0"/>
      <w:marTop w:val="0"/>
      <w:marBottom w:val="0"/>
      <w:divBdr>
        <w:top w:val="none" w:sz="0" w:space="0" w:color="auto"/>
        <w:left w:val="none" w:sz="0" w:space="0" w:color="auto"/>
        <w:bottom w:val="none" w:sz="0" w:space="0" w:color="auto"/>
        <w:right w:val="none" w:sz="0" w:space="0" w:color="auto"/>
      </w:divBdr>
    </w:div>
    <w:div w:id="326591581">
      <w:bodyDiv w:val="1"/>
      <w:marLeft w:val="0"/>
      <w:marRight w:val="0"/>
      <w:marTop w:val="0"/>
      <w:marBottom w:val="0"/>
      <w:divBdr>
        <w:top w:val="none" w:sz="0" w:space="0" w:color="auto"/>
        <w:left w:val="none" w:sz="0" w:space="0" w:color="auto"/>
        <w:bottom w:val="none" w:sz="0" w:space="0" w:color="auto"/>
        <w:right w:val="none" w:sz="0" w:space="0" w:color="auto"/>
      </w:divBdr>
    </w:div>
    <w:div w:id="389422498">
      <w:bodyDiv w:val="1"/>
      <w:marLeft w:val="0"/>
      <w:marRight w:val="0"/>
      <w:marTop w:val="0"/>
      <w:marBottom w:val="0"/>
      <w:divBdr>
        <w:top w:val="none" w:sz="0" w:space="0" w:color="auto"/>
        <w:left w:val="none" w:sz="0" w:space="0" w:color="auto"/>
        <w:bottom w:val="none" w:sz="0" w:space="0" w:color="auto"/>
        <w:right w:val="none" w:sz="0" w:space="0" w:color="auto"/>
      </w:divBdr>
      <w:divsChild>
        <w:div w:id="167868319">
          <w:marLeft w:val="0"/>
          <w:marRight w:val="0"/>
          <w:marTop w:val="0"/>
          <w:marBottom w:val="0"/>
          <w:divBdr>
            <w:top w:val="none" w:sz="0" w:space="0" w:color="auto"/>
            <w:left w:val="none" w:sz="0" w:space="0" w:color="auto"/>
            <w:bottom w:val="none" w:sz="0" w:space="0" w:color="auto"/>
            <w:right w:val="none" w:sz="0" w:space="0" w:color="auto"/>
          </w:divBdr>
        </w:div>
        <w:div w:id="529145278">
          <w:marLeft w:val="0"/>
          <w:marRight w:val="0"/>
          <w:marTop w:val="0"/>
          <w:marBottom w:val="0"/>
          <w:divBdr>
            <w:top w:val="none" w:sz="0" w:space="0" w:color="auto"/>
            <w:left w:val="none" w:sz="0" w:space="0" w:color="auto"/>
            <w:bottom w:val="none" w:sz="0" w:space="0" w:color="auto"/>
            <w:right w:val="none" w:sz="0" w:space="0" w:color="auto"/>
          </w:divBdr>
        </w:div>
        <w:div w:id="199825400">
          <w:marLeft w:val="0"/>
          <w:marRight w:val="0"/>
          <w:marTop w:val="0"/>
          <w:marBottom w:val="0"/>
          <w:divBdr>
            <w:top w:val="none" w:sz="0" w:space="0" w:color="auto"/>
            <w:left w:val="none" w:sz="0" w:space="0" w:color="auto"/>
            <w:bottom w:val="none" w:sz="0" w:space="0" w:color="auto"/>
            <w:right w:val="none" w:sz="0" w:space="0" w:color="auto"/>
          </w:divBdr>
        </w:div>
        <w:div w:id="699935637">
          <w:marLeft w:val="0"/>
          <w:marRight w:val="0"/>
          <w:marTop w:val="0"/>
          <w:marBottom w:val="0"/>
          <w:divBdr>
            <w:top w:val="none" w:sz="0" w:space="0" w:color="auto"/>
            <w:left w:val="none" w:sz="0" w:space="0" w:color="auto"/>
            <w:bottom w:val="none" w:sz="0" w:space="0" w:color="auto"/>
            <w:right w:val="none" w:sz="0" w:space="0" w:color="auto"/>
          </w:divBdr>
        </w:div>
      </w:divsChild>
    </w:div>
    <w:div w:id="499470368">
      <w:bodyDiv w:val="1"/>
      <w:marLeft w:val="0"/>
      <w:marRight w:val="0"/>
      <w:marTop w:val="0"/>
      <w:marBottom w:val="0"/>
      <w:divBdr>
        <w:top w:val="none" w:sz="0" w:space="0" w:color="auto"/>
        <w:left w:val="none" w:sz="0" w:space="0" w:color="auto"/>
        <w:bottom w:val="none" w:sz="0" w:space="0" w:color="auto"/>
        <w:right w:val="none" w:sz="0" w:space="0" w:color="auto"/>
      </w:divBdr>
      <w:divsChild>
        <w:div w:id="1375932278">
          <w:marLeft w:val="0"/>
          <w:marRight w:val="0"/>
          <w:marTop w:val="0"/>
          <w:marBottom w:val="0"/>
          <w:divBdr>
            <w:top w:val="none" w:sz="0" w:space="0" w:color="auto"/>
            <w:left w:val="none" w:sz="0" w:space="0" w:color="auto"/>
            <w:bottom w:val="none" w:sz="0" w:space="0" w:color="auto"/>
            <w:right w:val="none" w:sz="0" w:space="0" w:color="auto"/>
          </w:divBdr>
        </w:div>
      </w:divsChild>
    </w:div>
    <w:div w:id="504563771">
      <w:bodyDiv w:val="1"/>
      <w:marLeft w:val="0"/>
      <w:marRight w:val="0"/>
      <w:marTop w:val="0"/>
      <w:marBottom w:val="0"/>
      <w:divBdr>
        <w:top w:val="none" w:sz="0" w:space="0" w:color="auto"/>
        <w:left w:val="none" w:sz="0" w:space="0" w:color="auto"/>
        <w:bottom w:val="none" w:sz="0" w:space="0" w:color="auto"/>
        <w:right w:val="none" w:sz="0" w:space="0" w:color="auto"/>
      </w:divBdr>
      <w:divsChild>
        <w:div w:id="1352226288">
          <w:marLeft w:val="0"/>
          <w:marRight w:val="0"/>
          <w:marTop w:val="0"/>
          <w:marBottom w:val="0"/>
          <w:divBdr>
            <w:top w:val="none" w:sz="0" w:space="0" w:color="auto"/>
            <w:left w:val="none" w:sz="0" w:space="0" w:color="auto"/>
            <w:bottom w:val="none" w:sz="0" w:space="0" w:color="auto"/>
            <w:right w:val="none" w:sz="0" w:space="0" w:color="auto"/>
          </w:divBdr>
        </w:div>
        <w:div w:id="884682304">
          <w:marLeft w:val="0"/>
          <w:marRight w:val="0"/>
          <w:marTop w:val="0"/>
          <w:marBottom w:val="0"/>
          <w:divBdr>
            <w:top w:val="none" w:sz="0" w:space="0" w:color="auto"/>
            <w:left w:val="none" w:sz="0" w:space="0" w:color="auto"/>
            <w:bottom w:val="none" w:sz="0" w:space="0" w:color="auto"/>
            <w:right w:val="none" w:sz="0" w:space="0" w:color="auto"/>
          </w:divBdr>
        </w:div>
        <w:div w:id="407311157">
          <w:marLeft w:val="0"/>
          <w:marRight w:val="0"/>
          <w:marTop w:val="0"/>
          <w:marBottom w:val="0"/>
          <w:divBdr>
            <w:top w:val="none" w:sz="0" w:space="0" w:color="auto"/>
            <w:left w:val="none" w:sz="0" w:space="0" w:color="auto"/>
            <w:bottom w:val="none" w:sz="0" w:space="0" w:color="auto"/>
            <w:right w:val="none" w:sz="0" w:space="0" w:color="auto"/>
          </w:divBdr>
        </w:div>
        <w:div w:id="1988125844">
          <w:marLeft w:val="0"/>
          <w:marRight w:val="0"/>
          <w:marTop w:val="0"/>
          <w:marBottom w:val="0"/>
          <w:divBdr>
            <w:top w:val="none" w:sz="0" w:space="0" w:color="auto"/>
            <w:left w:val="none" w:sz="0" w:space="0" w:color="auto"/>
            <w:bottom w:val="none" w:sz="0" w:space="0" w:color="auto"/>
            <w:right w:val="none" w:sz="0" w:space="0" w:color="auto"/>
          </w:divBdr>
        </w:div>
      </w:divsChild>
    </w:div>
    <w:div w:id="526988739">
      <w:bodyDiv w:val="1"/>
      <w:marLeft w:val="0"/>
      <w:marRight w:val="0"/>
      <w:marTop w:val="0"/>
      <w:marBottom w:val="0"/>
      <w:divBdr>
        <w:top w:val="none" w:sz="0" w:space="0" w:color="auto"/>
        <w:left w:val="none" w:sz="0" w:space="0" w:color="auto"/>
        <w:bottom w:val="none" w:sz="0" w:space="0" w:color="auto"/>
        <w:right w:val="none" w:sz="0" w:space="0" w:color="auto"/>
      </w:divBdr>
    </w:div>
    <w:div w:id="533886521">
      <w:bodyDiv w:val="1"/>
      <w:marLeft w:val="0"/>
      <w:marRight w:val="0"/>
      <w:marTop w:val="0"/>
      <w:marBottom w:val="0"/>
      <w:divBdr>
        <w:top w:val="none" w:sz="0" w:space="0" w:color="auto"/>
        <w:left w:val="none" w:sz="0" w:space="0" w:color="auto"/>
        <w:bottom w:val="none" w:sz="0" w:space="0" w:color="auto"/>
        <w:right w:val="none" w:sz="0" w:space="0" w:color="auto"/>
      </w:divBdr>
    </w:div>
    <w:div w:id="541406758">
      <w:bodyDiv w:val="1"/>
      <w:marLeft w:val="0"/>
      <w:marRight w:val="0"/>
      <w:marTop w:val="0"/>
      <w:marBottom w:val="0"/>
      <w:divBdr>
        <w:top w:val="none" w:sz="0" w:space="0" w:color="auto"/>
        <w:left w:val="none" w:sz="0" w:space="0" w:color="auto"/>
        <w:bottom w:val="none" w:sz="0" w:space="0" w:color="auto"/>
        <w:right w:val="none" w:sz="0" w:space="0" w:color="auto"/>
      </w:divBdr>
      <w:divsChild>
        <w:div w:id="611397108">
          <w:marLeft w:val="0"/>
          <w:marRight w:val="0"/>
          <w:marTop w:val="0"/>
          <w:marBottom w:val="0"/>
          <w:divBdr>
            <w:top w:val="none" w:sz="0" w:space="0" w:color="auto"/>
            <w:left w:val="none" w:sz="0" w:space="0" w:color="auto"/>
            <w:bottom w:val="none" w:sz="0" w:space="0" w:color="auto"/>
            <w:right w:val="none" w:sz="0" w:space="0" w:color="auto"/>
          </w:divBdr>
        </w:div>
        <w:div w:id="2042129673">
          <w:marLeft w:val="0"/>
          <w:marRight w:val="0"/>
          <w:marTop w:val="0"/>
          <w:marBottom w:val="0"/>
          <w:divBdr>
            <w:top w:val="none" w:sz="0" w:space="0" w:color="auto"/>
            <w:left w:val="none" w:sz="0" w:space="0" w:color="auto"/>
            <w:bottom w:val="none" w:sz="0" w:space="0" w:color="auto"/>
            <w:right w:val="none" w:sz="0" w:space="0" w:color="auto"/>
          </w:divBdr>
        </w:div>
        <w:div w:id="709262918">
          <w:marLeft w:val="0"/>
          <w:marRight w:val="0"/>
          <w:marTop w:val="0"/>
          <w:marBottom w:val="0"/>
          <w:divBdr>
            <w:top w:val="none" w:sz="0" w:space="0" w:color="auto"/>
            <w:left w:val="none" w:sz="0" w:space="0" w:color="auto"/>
            <w:bottom w:val="none" w:sz="0" w:space="0" w:color="auto"/>
            <w:right w:val="none" w:sz="0" w:space="0" w:color="auto"/>
          </w:divBdr>
        </w:div>
        <w:div w:id="380060334">
          <w:marLeft w:val="0"/>
          <w:marRight w:val="0"/>
          <w:marTop w:val="0"/>
          <w:marBottom w:val="0"/>
          <w:divBdr>
            <w:top w:val="none" w:sz="0" w:space="0" w:color="auto"/>
            <w:left w:val="none" w:sz="0" w:space="0" w:color="auto"/>
            <w:bottom w:val="none" w:sz="0" w:space="0" w:color="auto"/>
            <w:right w:val="none" w:sz="0" w:space="0" w:color="auto"/>
          </w:divBdr>
        </w:div>
      </w:divsChild>
    </w:div>
    <w:div w:id="599528746">
      <w:bodyDiv w:val="1"/>
      <w:marLeft w:val="0"/>
      <w:marRight w:val="0"/>
      <w:marTop w:val="0"/>
      <w:marBottom w:val="0"/>
      <w:divBdr>
        <w:top w:val="none" w:sz="0" w:space="0" w:color="auto"/>
        <w:left w:val="none" w:sz="0" w:space="0" w:color="auto"/>
        <w:bottom w:val="none" w:sz="0" w:space="0" w:color="auto"/>
        <w:right w:val="none" w:sz="0" w:space="0" w:color="auto"/>
      </w:divBdr>
      <w:divsChild>
        <w:div w:id="26294115">
          <w:marLeft w:val="0"/>
          <w:marRight w:val="0"/>
          <w:marTop w:val="0"/>
          <w:marBottom w:val="0"/>
          <w:divBdr>
            <w:top w:val="none" w:sz="0" w:space="0" w:color="auto"/>
            <w:left w:val="none" w:sz="0" w:space="0" w:color="auto"/>
            <w:bottom w:val="none" w:sz="0" w:space="0" w:color="auto"/>
            <w:right w:val="none" w:sz="0" w:space="0" w:color="auto"/>
          </w:divBdr>
        </w:div>
        <w:div w:id="20710277">
          <w:marLeft w:val="0"/>
          <w:marRight w:val="0"/>
          <w:marTop w:val="0"/>
          <w:marBottom w:val="0"/>
          <w:divBdr>
            <w:top w:val="none" w:sz="0" w:space="0" w:color="auto"/>
            <w:left w:val="none" w:sz="0" w:space="0" w:color="auto"/>
            <w:bottom w:val="none" w:sz="0" w:space="0" w:color="auto"/>
            <w:right w:val="none" w:sz="0" w:space="0" w:color="auto"/>
          </w:divBdr>
        </w:div>
        <w:div w:id="1473018655">
          <w:marLeft w:val="0"/>
          <w:marRight w:val="0"/>
          <w:marTop w:val="0"/>
          <w:marBottom w:val="0"/>
          <w:divBdr>
            <w:top w:val="none" w:sz="0" w:space="0" w:color="auto"/>
            <w:left w:val="none" w:sz="0" w:space="0" w:color="auto"/>
            <w:bottom w:val="none" w:sz="0" w:space="0" w:color="auto"/>
            <w:right w:val="none" w:sz="0" w:space="0" w:color="auto"/>
          </w:divBdr>
        </w:div>
      </w:divsChild>
    </w:div>
    <w:div w:id="600259714">
      <w:bodyDiv w:val="1"/>
      <w:marLeft w:val="0"/>
      <w:marRight w:val="0"/>
      <w:marTop w:val="0"/>
      <w:marBottom w:val="0"/>
      <w:divBdr>
        <w:top w:val="none" w:sz="0" w:space="0" w:color="auto"/>
        <w:left w:val="none" w:sz="0" w:space="0" w:color="auto"/>
        <w:bottom w:val="none" w:sz="0" w:space="0" w:color="auto"/>
        <w:right w:val="none" w:sz="0" w:space="0" w:color="auto"/>
      </w:divBdr>
    </w:div>
    <w:div w:id="620651413">
      <w:bodyDiv w:val="1"/>
      <w:marLeft w:val="0"/>
      <w:marRight w:val="0"/>
      <w:marTop w:val="0"/>
      <w:marBottom w:val="0"/>
      <w:divBdr>
        <w:top w:val="none" w:sz="0" w:space="0" w:color="auto"/>
        <w:left w:val="none" w:sz="0" w:space="0" w:color="auto"/>
        <w:bottom w:val="none" w:sz="0" w:space="0" w:color="auto"/>
        <w:right w:val="none" w:sz="0" w:space="0" w:color="auto"/>
      </w:divBdr>
    </w:div>
    <w:div w:id="647365043">
      <w:bodyDiv w:val="1"/>
      <w:marLeft w:val="0"/>
      <w:marRight w:val="0"/>
      <w:marTop w:val="0"/>
      <w:marBottom w:val="0"/>
      <w:divBdr>
        <w:top w:val="none" w:sz="0" w:space="0" w:color="auto"/>
        <w:left w:val="none" w:sz="0" w:space="0" w:color="auto"/>
        <w:bottom w:val="none" w:sz="0" w:space="0" w:color="auto"/>
        <w:right w:val="none" w:sz="0" w:space="0" w:color="auto"/>
      </w:divBdr>
      <w:divsChild>
        <w:div w:id="1146095011">
          <w:marLeft w:val="0"/>
          <w:marRight w:val="0"/>
          <w:marTop w:val="0"/>
          <w:marBottom w:val="0"/>
          <w:divBdr>
            <w:top w:val="none" w:sz="0" w:space="0" w:color="auto"/>
            <w:left w:val="none" w:sz="0" w:space="0" w:color="auto"/>
            <w:bottom w:val="none" w:sz="0" w:space="0" w:color="auto"/>
            <w:right w:val="none" w:sz="0" w:space="0" w:color="auto"/>
          </w:divBdr>
        </w:div>
        <w:div w:id="1913661209">
          <w:marLeft w:val="0"/>
          <w:marRight w:val="0"/>
          <w:marTop w:val="0"/>
          <w:marBottom w:val="0"/>
          <w:divBdr>
            <w:top w:val="none" w:sz="0" w:space="0" w:color="auto"/>
            <w:left w:val="none" w:sz="0" w:space="0" w:color="auto"/>
            <w:bottom w:val="none" w:sz="0" w:space="0" w:color="auto"/>
            <w:right w:val="none" w:sz="0" w:space="0" w:color="auto"/>
          </w:divBdr>
        </w:div>
        <w:div w:id="160658564">
          <w:marLeft w:val="0"/>
          <w:marRight w:val="0"/>
          <w:marTop w:val="0"/>
          <w:marBottom w:val="0"/>
          <w:divBdr>
            <w:top w:val="none" w:sz="0" w:space="0" w:color="auto"/>
            <w:left w:val="none" w:sz="0" w:space="0" w:color="auto"/>
            <w:bottom w:val="none" w:sz="0" w:space="0" w:color="auto"/>
            <w:right w:val="none" w:sz="0" w:space="0" w:color="auto"/>
          </w:divBdr>
        </w:div>
        <w:div w:id="545412732">
          <w:marLeft w:val="0"/>
          <w:marRight w:val="0"/>
          <w:marTop w:val="0"/>
          <w:marBottom w:val="0"/>
          <w:divBdr>
            <w:top w:val="none" w:sz="0" w:space="0" w:color="auto"/>
            <w:left w:val="none" w:sz="0" w:space="0" w:color="auto"/>
            <w:bottom w:val="none" w:sz="0" w:space="0" w:color="auto"/>
            <w:right w:val="none" w:sz="0" w:space="0" w:color="auto"/>
          </w:divBdr>
        </w:div>
        <w:div w:id="223755107">
          <w:marLeft w:val="0"/>
          <w:marRight w:val="0"/>
          <w:marTop w:val="0"/>
          <w:marBottom w:val="0"/>
          <w:divBdr>
            <w:top w:val="none" w:sz="0" w:space="0" w:color="auto"/>
            <w:left w:val="none" w:sz="0" w:space="0" w:color="auto"/>
            <w:bottom w:val="none" w:sz="0" w:space="0" w:color="auto"/>
            <w:right w:val="none" w:sz="0" w:space="0" w:color="auto"/>
          </w:divBdr>
        </w:div>
        <w:div w:id="1311326757">
          <w:marLeft w:val="0"/>
          <w:marRight w:val="0"/>
          <w:marTop w:val="0"/>
          <w:marBottom w:val="0"/>
          <w:divBdr>
            <w:top w:val="none" w:sz="0" w:space="0" w:color="auto"/>
            <w:left w:val="none" w:sz="0" w:space="0" w:color="auto"/>
            <w:bottom w:val="none" w:sz="0" w:space="0" w:color="auto"/>
            <w:right w:val="none" w:sz="0" w:space="0" w:color="auto"/>
          </w:divBdr>
        </w:div>
        <w:div w:id="704450270">
          <w:marLeft w:val="0"/>
          <w:marRight w:val="0"/>
          <w:marTop w:val="0"/>
          <w:marBottom w:val="0"/>
          <w:divBdr>
            <w:top w:val="none" w:sz="0" w:space="0" w:color="auto"/>
            <w:left w:val="none" w:sz="0" w:space="0" w:color="auto"/>
            <w:bottom w:val="none" w:sz="0" w:space="0" w:color="auto"/>
            <w:right w:val="none" w:sz="0" w:space="0" w:color="auto"/>
          </w:divBdr>
        </w:div>
        <w:div w:id="1816098284">
          <w:marLeft w:val="0"/>
          <w:marRight w:val="0"/>
          <w:marTop w:val="0"/>
          <w:marBottom w:val="0"/>
          <w:divBdr>
            <w:top w:val="none" w:sz="0" w:space="0" w:color="auto"/>
            <w:left w:val="none" w:sz="0" w:space="0" w:color="auto"/>
            <w:bottom w:val="none" w:sz="0" w:space="0" w:color="auto"/>
            <w:right w:val="none" w:sz="0" w:space="0" w:color="auto"/>
          </w:divBdr>
        </w:div>
        <w:div w:id="1025522861">
          <w:marLeft w:val="0"/>
          <w:marRight w:val="0"/>
          <w:marTop w:val="0"/>
          <w:marBottom w:val="0"/>
          <w:divBdr>
            <w:top w:val="none" w:sz="0" w:space="0" w:color="auto"/>
            <w:left w:val="none" w:sz="0" w:space="0" w:color="auto"/>
            <w:bottom w:val="none" w:sz="0" w:space="0" w:color="auto"/>
            <w:right w:val="none" w:sz="0" w:space="0" w:color="auto"/>
          </w:divBdr>
        </w:div>
        <w:div w:id="2118255790">
          <w:marLeft w:val="0"/>
          <w:marRight w:val="0"/>
          <w:marTop w:val="0"/>
          <w:marBottom w:val="0"/>
          <w:divBdr>
            <w:top w:val="none" w:sz="0" w:space="0" w:color="auto"/>
            <w:left w:val="none" w:sz="0" w:space="0" w:color="auto"/>
            <w:bottom w:val="none" w:sz="0" w:space="0" w:color="auto"/>
            <w:right w:val="none" w:sz="0" w:space="0" w:color="auto"/>
          </w:divBdr>
        </w:div>
        <w:div w:id="1154101821">
          <w:marLeft w:val="0"/>
          <w:marRight w:val="0"/>
          <w:marTop w:val="0"/>
          <w:marBottom w:val="0"/>
          <w:divBdr>
            <w:top w:val="none" w:sz="0" w:space="0" w:color="auto"/>
            <w:left w:val="none" w:sz="0" w:space="0" w:color="auto"/>
            <w:bottom w:val="none" w:sz="0" w:space="0" w:color="auto"/>
            <w:right w:val="none" w:sz="0" w:space="0" w:color="auto"/>
          </w:divBdr>
        </w:div>
        <w:div w:id="187720013">
          <w:marLeft w:val="0"/>
          <w:marRight w:val="0"/>
          <w:marTop w:val="0"/>
          <w:marBottom w:val="0"/>
          <w:divBdr>
            <w:top w:val="none" w:sz="0" w:space="0" w:color="auto"/>
            <w:left w:val="none" w:sz="0" w:space="0" w:color="auto"/>
            <w:bottom w:val="none" w:sz="0" w:space="0" w:color="auto"/>
            <w:right w:val="none" w:sz="0" w:space="0" w:color="auto"/>
          </w:divBdr>
        </w:div>
        <w:div w:id="815680619">
          <w:marLeft w:val="0"/>
          <w:marRight w:val="0"/>
          <w:marTop w:val="0"/>
          <w:marBottom w:val="0"/>
          <w:divBdr>
            <w:top w:val="none" w:sz="0" w:space="0" w:color="auto"/>
            <w:left w:val="none" w:sz="0" w:space="0" w:color="auto"/>
            <w:bottom w:val="none" w:sz="0" w:space="0" w:color="auto"/>
            <w:right w:val="none" w:sz="0" w:space="0" w:color="auto"/>
          </w:divBdr>
        </w:div>
        <w:div w:id="468910659">
          <w:marLeft w:val="0"/>
          <w:marRight w:val="0"/>
          <w:marTop w:val="0"/>
          <w:marBottom w:val="0"/>
          <w:divBdr>
            <w:top w:val="none" w:sz="0" w:space="0" w:color="auto"/>
            <w:left w:val="none" w:sz="0" w:space="0" w:color="auto"/>
            <w:bottom w:val="none" w:sz="0" w:space="0" w:color="auto"/>
            <w:right w:val="none" w:sz="0" w:space="0" w:color="auto"/>
          </w:divBdr>
        </w:div>
        <w:div w:id="1367606573">
          <w:marLeft w:val="0"/>
          <w:marRight w:val="0"/>
          <w:marTop w:val="0"/>
          <w:marBottom w:val="0"/>
          <w:divBdr>
            <w:top w:val="none" w:sz="0" w:space="0" w:color="auto"/>
            <w:left w:val="none" w:sz="0" w:space="0" w:color="auto"/>
            <w:bottom w:val="none" w:sz="0" w:space="0" w:color="auto"/>
            <w:right w:val="none" w:sz="0" w:space="0" w:color="auto"/>
          </w:divBdr>
        </w:div>
      </w:divsChild>
    </w:div>
    <w:div w:id="659583134">
      <w:bodyDiv w:val="1"/>
      <w:marLeft w:val="0"/>
      <w:marRight w:val="0"/>
      <w:marTop w:val="0"/>
      <w:marBottom w:val="0"/>
      <w:divBdr>
        <w:top w:val="none" w:sz="0" w:space="0" w:color="auto"/>
        <w:left w:val="none" w:sz="0" w:space="0" w:color="auto"/>
        <w:bottom w:val="none" w:sz="0" w:space="0" w:color="auto"/>
        <w:right w:val="none" w:sz="0" w:space="0" w:color="auto"/>
      </w:divBdr>
      <w:divsChild>
        <w:div w:id="1720934461">
          <w:marLeft w:val="0"/>
          <w:marRight w:val="0"/>
          <w:marTop w:val="0"/>
          <w:marBottom w:val="0"/>
          <w:divBdr>
            <w:top w:val="none" w:sz="0" w:space="0" w:color="auto"/>
            <w:left w:val="none" w:sz="0" w:space="0" w:color="auto"/>
            <w:bottom w:val="none" w:sz="0" w:space="0" w:color="auto"/>
            <w:right w:val="none" w:sz="0" w:space="0" w:color="auto"/>
          </w:divBdr>
        </w:div>
        <w:div w:id="488332837">
          <w:marLeft w:val="0"/>
          <w:marRight w:val="0"/>
          <w:marTop w:val="0"/>
          <w:marBottom w:val="0"/>
          <w:divBdr>
            <w:top w:val="none" w:sz="0" w:space="0" w:color="auto"/>
            <w:left w:val="none" w:sz="0" w:space="0" w:color="auto"/>
            <w:bottom w:val="none" w:sz="0" w:space="0" w:color="auto"/>
            <w:right w:val="none" w:sz="0" w:space="0" w:color="auto"/>
          </w:divBdr>
        </w:div>
      </w:divsChild>
    </w:div>
    <w:div w:id="810563199">
      <w:bodyDiv w:val="1"/>
      <w:marLeft w:val="0"/>
      <w:marRight w:val="0"/>
      <w:marTop w:val="0"/>
      <w:marBottom w:val="0"/>
      <w:divBdr>
        <w:top w:val="none" w:sz="0" w:space="0" w:color="auto"/>
        <w:left w:val="none" w:sz="0" w:space="0" w:color="auto"/>
        <w:bottom w:val="none" w:sz="0" w:space="0" w:color="auto"/>
        <w:right w:val="none" w:sz="0" w:space="0" w:color="auto"/>
      </w:divBdr>
    </w:div>
    <w:div w:id="826437787">
      <w:bodyDiv w:val="1"/>
      <w:marLeft w:val="0"/>
      <w:marRight w:val="0"/>
      <w:marTop w:val="0"/>
      <w:marBottom w:val="0"/>
      <w:divBdr>
        <w:top w:val="none" w:sz="0" w:space="0" w:color="auto"/>
        <w:left w:val="none" w:sz="0" w:space="0" w:color="auto"/>
        <w:bottom w:val="none" w:sz="0" w:space="0" w:color="auto"/>
        <w:right w:val="none" w:sz="0" w:space="0" w:color="auto"/>
      </w:divBdr>
      <w:divsChild>
        <w:div w:id="1629435274">
          <w:marLeft w:val="0"/>
          <w:marRight w:val="0"/>
          <w:marTop w:val="0"/>
          <w:marBottom w:val="0"/>
          <w:divBdr>
            <w:top w:val="none" w:sz="0" w:space="0" w:color="auto"/>
            <w:left w:val="none" w:sz="0" w:space="0" w:color="auto"/>
            <w:bottom w:val="none" w:sz="0" w:space="0" w:color="auto"/>
            <w:right w:val="none" w:sz="0" w:space="0" w:color="auto"/>
          </w:divBdr>
        </w:div>
        <w:div w:id="1088699875">
          <w:marLeft w:val="0"/>
          <w:marRight w:val="0"/>
          <w:marTop w:val="0"/>
          <w:marBottom w:val="0"/>
          <w:divBdr>
            <w:top w:val="none" w:sz="0" w:space="0" w:color="auto"/>
            <w:left w:val="none" w:sz="0" w:space="0" w:color="auto"/>
            <w:bottom w:val="none" w:sz="0" w:space="0" w:color="auto"/>
            <w:right w:val="none" w:sz="0" w:space="0" w:color="auto"/>
          </w:divBdr>
        </w:div>
        <w:div w:id="175191121">
          <w:marLeft w:val="0"/>
          <w:marRight w:val="0"/>
          <w:marTop w:val="0"/>
          <w:marBottom w:val="0"/>
          <w:divBdr>
            <w:top w:val="none" w:sz="0" w:space="0" w:color="auto"/>
            <w:left w:val="none" w:sz="0" w:space="0" w:color="auto"/>
            <w:bottom w:val="none" w:sz="0" w:space="0" w:color="auto"/>
            <w:right w:val="none" w:sz="0" w:space="0" w:color="auto"/>
          </w:divBdr>
        </w:div>
        <w:div w:id="1562983449">
          <w:marLeft w:val="0"/>
          <w:marRight w:val="0"/>
          <w:marTop w:val="0"/>
          <w:marBottom w:val="0"/>
          <w:divBdr>
            <w:top w:val="none" w:sz="0" w:space="0" w:color="auto"/>
            <w:left w:val="none" w:sz="0" w:space="0" w:color="auto"/>
            <w:bottom w:val="none" w:sz="0" w:space="0" w:color="auto"/>
            <w:right w:val="none" w:sz="0" w:space="0" w:color="auto"/>
          </w:divBdr>
        </w:div>
      </w:divsChild>
    </w:div>
    <w:div w:id="842745707">
      <w:bodyDiv w:val="1"/>
      <w:marLeft w:val="0"/>
      <w:marRight w:val="0"/>
      <w:marTop w:val="0"/>
      <w:marBottom w:val="0"/>
      <w:divBdr>
        <w:top w:val="none" w:sz="0" w:space="0" w:color="auto"/>
        <w:left w:val="none" w:sz="0" w:space="0" w:color="auto"/>
        <w:bottom w:val="none" w:sz="0" w:space="0" w:color="auto"/>
        <w:right w:val="none" w:sz="0" w:space="0" w:color="auto"/>
      </w:divBdr>
    </w:div>
    <w:div w:id="845829503">
      <w:bodyDiv w:val="1"/>
      <w:marLeft w:val="0"/>
      <w:marRight w:val="0"/>
      <w:marTop w:val="0"/>
      <w:marBottom w:val="0"/>
      <w:divBdr>
        <w:top w:val="none" w:sz="0" w:space="0" w:color="auto"/>
        <w:left w:val="none" w:sz="0" w:space="0" w:color="auto"/>
        <w:bottom w:val="none" w:sz="0" w:space="0" w:color="auto"/>
        <w:right w:val="none" w:sz="0" w:space="0" w:color="auto"/>
      </w:divBdr>
      <w:divsChild>
        <w:div w:id="578364388">
          <w:marLeft w:val="0"/>
          <w:marRight w:val="0"/>
          <w:marTop w:val="0"/>
          <w:marBottom w:val="0"/>
          <w:divBdr>
            <w:top w:val="none" w:sz="0" w:space="0" w:color="auto"/>
            <w:left w:val="none" w:sz="0" w:space="0" w:color="auto"/>
            <w:bottom w:val="none" w:sz="0" w:space="0" w:color="auto"/>
            <w:right w:val="none" w:sz="0" w:space="0" w:color="auto"/>
          </w:divBdr>
        </w:div>
        <w:div w:id="625165204">
          <w:marLeft w:val="0"/>
          <w:marRight w:val="0"/>
          <w:marTop w:val="0"/>
          <w:marBottom w:val="0"/>
          <w:divBdr>
            <w:top w:val="none" w:sz="0" w:space="0" w:color="auto"/>
            <w:left w:val="none" w:sz="0" w:space="0" w:color="auto"/>
            <w:bottom w:val="none" w:sz="0" w:space="0" w:color="auto"/>
            <w:right w:val="none" w:sz="0" w:space="0" w:color="auto"/>
          </w:divBdr>
        </w:div>
      </w:divsChild>
    </w:div>
    <w:div w:id="862785591">
      <w:bodyDiv w:val="1"/>
      <w:marLeft w:val="0"/>
      <w:marRight w:val="0"/>
      <w:marTop w:val="0"/>
      <w:marBottom w:val="0"/>
      <w:divBdr>
        <w:top w:val="none" w:sz="0" w:space="0" w:color="auto"/>
        <w:left w:val="none" w:sz="0" w:space="0" w:color="auto"/>
        <w:bottom w:val="none" w:sz="0" w:space="0" w:color="auto"/>
        <w:right w:val="none" w:sz="0" w:space="0" w:color="auto"/>
      </w:divBdr>
      <w:divsChild>
        <w:div w:id="544945703">
          <w:marLeft w:val="0"/>
          <w:marRight w:val="0"/>
          <w:marTop w:val="0"/>
          <w:marBottom w:val="0"/>
          <w:divBdr>
            <w:top w:val="none" w:sz="0" w:space="0" w:color="auto"/>
            <w:left w:val="none" w:sz="0" w:space="0" w:color="auto"/>
            <w:bottom w:val="none" w:sz="0" w:space="0" w:color="auto"/>
            <w:right w:val="none" w:sz="0" w:space="0" w:color="auto"/>
          </w:divBdr>
        </w:div>
        <w:div w:id="1756317820">
          <w:marLeft w:val="0"/>
          <w:marRight w:val="0"/>
          <w:marTop w:val="0"/>
          <w:marBottom w:val="0"/>
          <w:divBdr>
            <w:top w:val="none" w:sz="0" w:space="0" w:color="auto"/>
            <w:left w:val="none" w:sz="0" w:space="0" w:color="auto"/>
            <w:bottom w:val="none" w:sz="0" w:space="0" w:color="auto"/>
            <w:right w:val="none" w:sz="0" w:space="0" w:color="auto"/>
          </w:divBdr>
        </w:div>
        <w:div w:id="1872527103">
          <w:marLeft w:val="0"/>
          <w:marRight w:val="0"/>
          <w:marTop w:val="0"/>
          <w:marBottom w:val="0"/>
          <w:divBdr>
            <w:top w:val="none" w:sz="0" w:space="0" w:color="auto"/>
            <w:left w:val="none" w:sz="0" w:space="0" w:color="auto"/>
            <w:bottom w:val="none" w:sz="0" w:space="0" w:color="auto"/>
            <w:right w:val="none" w:sz="0" w:space="0" w:color="auto"/>
          </w:divBdr>
        </w:div>
      </w:divsChild>
    </w:div>
    <w:div w:id="996960432">
      <w:bodyDiv w:val="1"/>
      <w:marLeft w:val="0"/>
      <w:marRight w:val="0"/>
      <w:marTop w:val="0"/>
      <w:marBottom w:val="0"/>
      <w:divBdr>
        <w:top w:val="none" w:sz="0" w:space="0" w:color="auto"/>
        <w:left w:val="none" w:sz="0" w:space="0" w:color="auto"/>
        <w:bottom w:val="none" w:sz="0" w:space="0" w:color="auto"/>
        <w:right w:val="none" w:sz="0" w:space="0" w:color="auto"/>
      </w:divBdr>
      <w:divsChild>
        <w:div w:id="999625079">
          <w:marLeft w:val="0"/>
          <w:marRight w:val="0"/>
          <w:marTop w:val="0"/>
          <w:marBottom w:val="0"/>
          <w:divBdr>
            <w:top w:val="none" w:sz="0" w:space="0" w:color="auto"/>
            <w:left w:val="none" w:sz="0" w:space="0" w:color="auto"/>
            <w:bottom w:val="none" w:sz="0" w:space="0" w:color="auto"/>
            <w:right w:val="none" w:sz="0" w:space="0" w:color="auto"/>
          </w:divBdr>
        </w:div>
        <w:div w:id="251864334">
          <w:marLeft w:val="0"/>
          <w:marRight w:val="0"/>
          <w:marTop w:val="0"/>
          <w:marBottom w:val="0"/>
          <w:divBdr>
            <w:top w:val="none" w:sz="0" w:space="0" w:color="auto"/>
            <w:left w:val="none" w:sz="0" w:space="0" w:color="auto"/>
            <w:bottom w:val="none" w:sz="0" w:space="0" w:color="auto"/>
            <w:right w:val="none" w:sz="0" w:space="0" w:color="auto"/>
          </w:divBdr>
        </w:div>
      </w:divsChild>
    </w:div>
    <w:div w:id="1064372164">
      <w:bodyDiv w:val="1"/>
      <w:marLeft w:val="0"/>
      <w:marRight w:val="0"/>
      <w:marTop w:val="0"/>
      <w:marBottom w:val="0"/>
      <w:divBdr>
        <w:top w:val="none" w:sz="0" w:space="0" w:color="auto"/>
        <w:left w:val="none" w:sz="0" w:space="0" w:color="auto"/>
        <w:bottom w:val="none" w:sz="0" w:space="0" w:color="auto"/>
        <w:right w:val="none" w:sz="0" w:space="0" w:color="auto"/>
      </w:divBdr>
      <w:divsChild>
        <w:div w:id="1816215080">
          <w:marLeft w:val="0"/>
          <w:marRight w:val="0"/>
          <w:marTop w:val="0"/>
          <w:marBottom w:val="0"/>
          <w:divBdr>
            <w:top w:val="none" w:sz="0" w:space="0" w:color="auto"/>
            <w:left w:val="none" w:sz="0" w:space="0" w:color="auto"/>
            <w:bottom w:val="none" w:sz="0" w:space="0" w:color="auto"/>
            <w:right w:val="none" w:sz="0" w:space="0" w:color="auto"/>
          </w:divBdr>
        </w:div>
        <w:div w:id="1706054265">
          <w:marLeft w:val="0"/>
          <w:marRight w:val="0"/>
          <w:marTop w:val="0"/>
          <w:marBottom w:val="0"/>
          <w:divBdr>
            <w:top w:val="none" w:sz="0" w:space="0" w:color="auto"/>
            <w:left w:val="none" w:sz="0" w:space="0" w:color="auto"/>
            <w:bottom w:val="none" w:sz="0" w:space="0" w:color="auto"/>
            <w:right w:val="none" w:sz="0" w:space="0" w:color="auto"/>
          </w:divBdr>
        </w:div>
        <w:div w:id="1170605792">
          <w:marLeft w:val="0"/>
          <w:marRight w:val="0"/>
          <w:marTop w:val="0"/>
          <w:marBottom w:val="0"/>
          <w:divBdr>
            <w:top w:val="none" w:sz="0" w:space="0" w:color="auto"/>
            <w:left w:val="none" w:sz="0" w:space="0" w:color="auto"/>
            <w:bottom w:val="none" w:sz="0" w:space="0" w:color="auto"/>
            <w:right w:val="none" w:sz="0" w:space="0" w:color="auto"/>
          </w:divBdr>
        </w:div>
        <w:div w:id="743188724">
          <w:marLeft w:val="0"/>
          <w:marRight w:val="0"/>
          <w:marTop w:val="0"/>
          <w:marBottom w:val="0"/>
          <w:divBdr>
            <w:top w:val="none" w:sz="0" w:space="0" w:color="auto"/>
            <w:left w:val="none" w:sz="0" w:space="0" w:color="auto"/>
            <w:bottom w:val="none" w:sz="0" w:space="0" w:color="auto"/>
            <w:right w:val="none" w:sz="0" w:space="0" w:color="auto"/>
          </w:divBdr>
        </w:div>
        <w:div w:id="525674853">
          <w:marLeft w:val="0"/>
          <w:marRight w:val="0"/>
          <w:marTop w:val="0"/>
          <w:marBottom w:val="0"/>
          <w:divBdr>
            <w:top w:val="none" w:sz="0" w:space="0" w:color="auto"/>
            <w:left w:val="none" w:sz="0" w:space="0" w:color="auto"/>
            <w:bottom w:val="none" w:sz="0" w:space="0" w:color="auto"/>
            <w:right w:val="none" w:sz="0" w:space="0" w:color="auto"/>
          </w:divBdr>
        </w:div>
      </w:divsChild>
    </w:div>
    <w:div w:id="1098217372">
      <w:bodyDiv w:val="1"/>
      <w:marLeft w:val="0"/>
      <w:marRight w:val="0"/>
      <w:marTop w:val="0"/>
      <w:marBottom w:val="0"/>
      <w:divBdr>
        <w:top w:val="none" w:sz="0" w:space="0" w:color="auto"/>
        <w:left w:val="none" w:sz="0" w:space="0" w:color="auto"/>
        <w:bottom w:val="none" w:sz="0" w:space="0" w:color="auto"/>
        <w:right w:val="none" w:sz="0" w:space="0" w:color="auto"/>
      </w:divBdr>
      <w:divsChild>
        <w:div w:id="786774625">
          <w:marLeft w:val="660"/>
          <w:marRight w:val="660"/>
          <w:marTop w:val="0"/>
          <w:marBottom w:val="0"/>
          <w:divBdr>
            <w:top w:val="none" w:sz="0" w:space="0" w:color="auto"/>
            <w:left w:val="none" w:sz="0" w:space="0" w:color="auto"/>
            <w:bottom w:val="none" w:sz="0" w:space="0" w:color="auto"/>
            <w:right w:val="none" w:sz="0" w:space="0" w:color="auto"/>
          </w:divBdr>
          <w:divsChild>
            <w:div w:id="1767724980">
              <w:marLeft w:val="0"/>
              <w:marRight w:val="0"/>
              <w:marTop w:val="0"/>
              <w:marBottom w:val="0"/>
              <w:divBdr>
                <w:top w:val="none" w:sz="0" w:space="0" w:color="auto"/>
                <w:left w:val="none" w:sz="0" w:space="0" w:color="auto"/>
                <w:bottom w:val="none" w:sz="0" w:space="0" w:color="auto"/>
                <w:right w:val="none" w:sz="0" w:space="0" w:color="auto"/>
              </w:divBdr>
              <w:divsChild>
                <w:div w:id="1378356981">
                  <w:marLeft w:val="0"/>
                  <w:marRight w:val="0"/>
                  <w:marTop w:val="0"/>
                  <w:marBottom w:val="0"/>
                  <w:divBdr>
                    <w:top w:val="none" w:sz="0" w:space="0" w:color="auto"/>
                    <w:left w:val="none" w:sz="0" w:space="0" w:color="auto"/>
                    <w:bottom w:val="none" w:sz="0" w:space="0" w:color="auto"/>
                    <w:right w:val="none" w:sz="0" w:space="0" w:color="auto"/>
                  </w:divBdr>
                  <w:divsChild>
                    <w:div w:id="369300687">
                      <w:marLeft w:val="0"/>
                      <w:marRight w:val="0"/>
                      <w:marTop w:val="0"/>
                      <w:marBottom w:val="0"/>
                      <w:divBdr>
                        <w:top w:val="none" w:sz="0" w:space="0" w:color="auto"/>
                        <w:left w:val="none" w:sz="0" w:space="0" w:color="auto"/>
                        <w:bottom w:val="none" w:sz="0" w:space="0" w:color="auto"/>
                        <w:right w:val="none" w:sz="0" w:space="0" w:color="auto"/>
                      </w:divBdr>
                      <w:divsChild>
                        <w:div w:id="1299913589">
                          <w:marLeft w:val="0"/>
                          <w:marRight w:val="0"/>
                          <w:marTop w:val="0"/>
                          <w:marBottom w:val="0"/>
                          <w:divBdr>
                            <w:top w:val="none" w:sz="0" w:space="0" w:color="auto"/>
                            <w:left w:val="none" w:sz="0" w:space="0" w:color="auto"/>
                            <w:bottom w:val="none" w:sz="0" w:space="0" w:color="auto"/>
                            <w:right w:val="none" w:sz="0" w:space="0" w:color="auto"/>
                          </w:divBdr>
                          <w:divsChild>
                            <w:div w:id="1072698905">
                              <w:marLeft w:val="0"/>
                              <w:marRight w:val="0"/>
                              <w:marTop w:val="0"/>
                              <w:marBottom w:val="0"/>
                              <w:divBdr>
                                <w:top w:val="none" w:sz="0" w:space="0" w:color="auto"/>
                                <w:left w:val="none" w:sz="0" w:space="0" w:color="auto"/>
                                <w:bottom w:val="none" w:sz="0" w:space="0" w:color="auto"/>
                                <w:right w:val="none" w:sz="0" w:space="0" w:color="auto"/>
                              </w:divBdr>
                            </w:div>
                          </w:divsChild>
                        </w:div>
                        <w:div w:id="92669913">
                          <w:marLeft w:val="0"/>
                          <w:marRight w:val="0"/>
                          <w:marTop w:val="240"/>
                          <w:marBottom w:val="0"/>
                          <w:divBdr>
                            <w:top w:val="none" w:sz="0" w:space="0" w:color="auto"/>
                            <w:left w:val="none" w:sz="0" w:space="0" w:color="auto"/>
                            <w:bottom w:val="none" w:sz="0" w:space="0" w:color="auto"/>
                            <w:right w:val="none" w:sz="0" w:space="0" w:color="auto"/>
                          </w:divBdr>
                          <w:divsChild>
                            <w:div w:id="17510920">
                              <w:marLeft w:val="90"/>
                              <w:marRight w:val="0"/>
                              <w:marTop w:val="0"/>
                              <w:marBottom w:val="0"/>
                              <w:divBdr>
                                <w:top w:val="none" w:sz="0" w:space="0" w:color="auto"/>
                                <w:left w:val="none" w:sz="0" w:space="0" w:color="auto"/>
                                <w:bottom w:val="none" w:sz="0" w:space="0" w:color="auto"/>
                                <w:right w:val="none" w:sz="0" w:space="0" w:color="auto"/>
                              </w:divBdr>
                              <w:divsChild>
                                <w:div w:id="1947494481">
                                  <w:marLeft w:val="-60"/>
                                  <w:marRight w:val="0"/>
                                  <w:marTop w:val="0"/>
                                  <w:marBottom w:val="0"/>
                                  <w:divBdr>
                                    <w:top w:val="none" w:sz="0" w:space="0" w:color="auto"/>
                                    <w:left w:val="none" w:sz="0" w:space="0" w:color="auto"/>
                                    <w:bottom w:val="none" w:sz="0" w:space="0" w:color="auto"/>
                                    <w:right w:val="none" w:sz="0" w:space="0" w:color="auto"/>
                                  </w:divBdr>
                                </w:div>
                                <w:div w:id="16340100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301996">
      <w:bodyDiv w:val="1"/>
      <w:marLeft w:val="0"/>
      <w:marRight w:val="0"/>
      <w:marTop w:val="0"/>
      <w:marBottom w:val="0"/>
      <w:divBdr>
        <w:top w:val="none" w:sz="0" w:space="0" w:color="auto"/>
        <w:left w:val="none" w:sz="0" w:space="0" w:color="auto"/>
        <w:bottom w:val="none" w:sz="0" w:space="0" w:color="auto"/>
        <w:right w:val="none" w:sz="0" w:space="0" w:color="auto"/>
      </w:divBdr>
    </w:div>
    <w:div w:id="1200318489">
      <w:bodyDiv w:val="1"/>
      <w:marLeft w:val="0"/>
      <w:marRight w:val="0"/>
      <w:marTop w:val="0"/>
      <w:marBottom w:val="0"/>
      <w:divBdr>
        <w:top w:val="none" w:sz="0" w:space="0" w:color="auto"/>
        <w:left w:val="none" w:sz="0" w:space="0" w:color="auto"/>
        <w:bottom w:val="none" w:sz="0" w:space="0" w:color="auto"/>
        <w:right w:val="none" w:sz="0" w:space="0" w:color="auto"/>
      </w:divBdr>
    </w:div>
    <w:div w:id="1210612496">
      <w:bodyDiv w:val="1"/>
      <w:marLeft w:val="0"/>
      <w:marRight w:val="0"/>
      <w:marTop w:val="0"/>
      <w:marBottom w:val="0"/>
      <w:divBdr>
        <w:top w:val="none" w:sz="0" w:space="0" w:color="auto"/>
        <w:left w:val="none" w:sz="0" w:space="0" w:color="auto"/>
        <w:bottom w:val="none" w:sz="0" w:space="0" w:color="auto"/>
        <w:right w:val="none" w:sz="0" w:space="0" w:color="auto"/>
      </w:divBdr>
      <w:divsChild>
        <w:div w:id="1874347691">
          <w:marLeft w:val="0"/>
          <w:marRight w:val="0"/>
          <w:marTop w:val="0"/>
          <w:marBottom w:val="0"/>
          <w:divBdr>
            <w:top w:val="none" w:sz="0" w:space="0" w:color="auto"/>
            <w:left w:val="none" w:sz="0" w:space="0" w:color="auto"/>
            <w:bottom w:val="none" w:sz="0" w:space="0" w:color="auto"/>
            <w:right w:val="none" w:sz="0" w:space="0" w:color="auto"/>
          </w:divBdr>
        </w:div>
        <w:div w:id="932400571">
          <w:marLeft w:val="0"/>
          <w:marRight w:val="0"/>
          <w:marTop w:val="0"/>
          <w:marBottom w:val="0"/>
          <w:divBdr>
            <w:top w:val="none" w:sz="0" w:space="0" w:color="auto"/>
            <w:left w:val="none" w:sz="0" w:space="0" w:color="auto"/>
            <w:bottom w:val="none" w:sz="0" w:space="0" w:color="auto"/>
            <w:right w:val="none" w:sz="0" w:space="0" w:color="auto"/>
          </w:divBdr>
        </w:div>
      </w:divsChild>
    </w:div>
    <w:div w:id="1265963579">
      <w:bodyDiv w:val="1"/>
      <w:marLeft w:val="0"/>
      <w:marRight w:val="0"/>
      <w:marTop w:val="0"/>
      <w:marBottom w:val="0"/>
      <w:divBdr>
        <w:top w:val="none" w:sz="0" w:space="0" w:color="auto"/>
        <w:left w:val="none" w:sz="0" w:space="0" w:color="auto"/>
        <w:bottom w:val="none" w:sz="0" w:space="0" w:color="auto"/>
        <w:right w:val="none" w:sz="0" w:space="0" w:color="auto"/>
      </w:divBdr>
      <w:divsChild>
        <w:div w:id="1614897158">
          <w:marLeft w:val="0"/>
          <w:marRight w:val="0"/>
          <w:marTop w:val="0"/>
          <w:marBottom w:val="0"/>
          <w:divBdr>
            <w:top w:val="none" w:sz="0" w:space="0" w:color="auto"/>
            <w:left w:val="none" w:sz="0" w:space="0" w:color="auto"/>
            <w:bottom w:val="none" w:sz="0" w:space="0" w:color="auto"/>
            <w:right w:val="none" w:sz="0" w:space="0" w:color="auto"/>
          </w:divBdr>
        </w:div>
        <w:div w:id="2044549118">
          <w:marLeft w:val="0"/>
          <w:marRight w:val="0"/>
          <w:marTop w:val="0"/>
          <w:marBottom w:val="0"/>
          <w:divBdr>
            <w:top w:val="none" w:sz="0" w:space="0" w:color="auto"/>
            <w:left w:val="none" w:sz="0" w:space="0" w:color="auto"/>
            <w:bottom w:val="none" w:sz="0" w:space="0" w:color="auto"/>
            <w:right w:val="none" w:sz="0" w:space="0" w:color="auto"/>
          </w:divBdr>
        </w:div>
      </w:divsChild>
    </w:div>
    <w:div w:id="1267346714">
      <w:bodyDiv w:val="1"/>
      <w:marLeft w:val="0"/>
      <w:marRight w:val="0"/>
      <w:marTop w:val="0"/>
      <w:marBottom w:val="0"/>
      <w:divBdr>
        <w:top w:val="none" w:sz="0" w:space="0" w:color="auto"/>
        <w:left w:val="none" w:sz="0" w:space="0" w:color="auto"/>
        <w:bottom w:val="none" w:sz="0" w:space="0" w:color="auto"/>
        <w:right w:val="none" w:sz="0" w:space="0" w:color="auto"/>
      </w:divBdr>
      <w:divsChild>
        <w:div w:id="947391910">
          <w:marLeft w:val="0"/>
          <w:marRight w:val="0"/>
          <w:marTop w:val="0"/>
          <w:marBottom w:val="0"/>
          <w:divBdr>
            <w:top w:val="none" w:sz="0" w:space="0" w:color="auto"/>
            <w:left w:val="none" w:sz="0" w:space="0" w:color="auto"/>
            <w:bottom w:val="none" w:sz="0" w:space="0" w:color="auto"/>
            <w:right w:val="none" w:sz="0" w:space="0" w:color="auto"/>
          </w:divBdr>
        </w:div>
        <w:div w:id="876820020">
          <w:marLeft w:val="0"/>
          <w:marRight w:val="0"/>
          <w:marTop w:val="0"/>
          <w:marBottom w:val="0"/>
          <w:divBdr>
            <w:top w:val="none" w:sz="0" w:space="0" w:color="auto"/>
            <w:left w:val="none" w:sz="0" w:space="0" w:color="auto"/>
            <w:bottom w:val="none" w:sz="0" w:space="0" w:color="auto"/>
            <w:right w:val="none" w:sz="0" w:space="0" w:color="auto"/>
          </w:divBdr>
        </w:div>
        <w:div w:id="1861973406">
          <w:marLeft w:val="0"/>
          <w:marRight w:val="0"/>
          <w:marTop w:val="0"/>
          <w:marBottom w:val="0"/>
          <w:divBdr>
            <w:top w:val="none" w:sz="0" w:space="0" w:color="auto"/>
            <w:left w:val="none" w:sz="0" w:space="0" w:color="auto"/>
            <w:bottom w:val="none" w:sz="0" w:space="0" w:color="auto"/>
            <w:right w:val="none" w:sz="0" w:space="0" w:color="auto"/>
          </w:divBdr>
        </w:div>
      </w:divsChild>
    </w:div>
    <w:div w:id="1312177869">
      <w:bodyDiv w:val="1"/>
      <w:marLeft w:val="0"/>
      <w:marRight w:val="0"/>
      <w:marTop w:val="0"/>
      <w:marBottom w:val="0"/>
      <w:divBdr>
        <w:top w:val="none" w:sz="0" w:space="0" w:color="auto"/>
        <w:left w:val="none" w:sz="0" w:space="0" w:color="auto"/>
        <w:bottom w:val="none" w:sz="0" w:space="0" w:color="auto"/>
        <w:right w:val="none" w:sz="0" w:space="0" w:color="auto"/>
      </w:divBdr>
    </w:div>
    <w:div w:id="1353604658">
      <w:bodyDiv w:val="1"/>
      <w:marLeft w:val="0"/>
      <w:marRight w:val="0"/>
      <w:marTop w:val="0"/>
      <w:marBottom w:val="0"/>
      <w:divBdr>
        <w:top w:val="none" w:sz="0" w:space="0" w:color="auto"/>
        <w:left w:val="none" w:sz="0" w:space="0" w:color="auto"/>
        <w:bottom w:val="none" w:sz="0" w:space="0" w:color="auto"/>
        <w:right w:val="none" w:sz="0" w:space="0" w:color="auto"/>
      </w:divBdr>
      <w:divsChild>
        <w:div w:id="1506943453">
          <w:marLeft w:val="0"/>
          <w:marRight w:val="0"/>
          <w:marTop w:val="0"/>
          <w:marBottom w:val="0"/>
          <w:divBdr>
            <w:top w:val="none" w:sz="0" w:space="0" w:color="auto"/>
            <w:left w:val="none" w:sz="0" w:space="0" w:color="auto"/>
            <w:bottom w:val="none" w:sz="0" w:space="0" w:color="auto"/>
            <w:right w:val="none" w:sz="0" w:space="0" w:color="auto"/>
          </w:divBdr>
        </w:div>
        <w:div w:id="1498229558">
          <w:marLeft w:val="0"/>
          <w:marRight w:val="0"/>
          <w:marTop w:val="0"/>
          <w:marBottom w:val="0"/>
          <w:divBdr>
            <w:top w:val="none" w:sz="0" w:space="0" w:color="auto"/>
            <w:left w:val="none" w:sz="0" w:space="0" w:color="auto"/>
            <w:bottom w:val="none" w:sz="0" w:space="0" w:color="auto"/>
            <w:right w:val="none" w:sz="0" w:space="0" w:color="auto"/>
          </w:divBdr>
        </w:div>
        <w:div w:id="919632660">
          <w:marLeft w:val="0"/>
          <w:marRight w:val="0"/>
          <w:marTop w:val="0"/>
          <w:marBottom w:val="0"/>
          <w:divBdr>
            <w:top w:val="none" w:sz="0" w:space="0" w:color="auto"/>
            <w:left w:val="none" w:sz="0" w:space="0" w:color="auto"/>
            <w:bottom w:val="none" w:sz="0" w:space="0" w:color="auto"/>
            <w:right w:val="none" w:sz="0" w:space="0" w:color="auto"/>
          </w:divBdr>
        </w:div>
      </w:divsChild>
    </w:div>
    <w:div w:id="1357924474">
      <w:bodyDiv w:val="1"/>
      <w:marLeft w:val="0"/>
      <w:marRight w:val="0"/>
      <w:marTop w:val="0"/>
      <w:marBottom w:val="0"/>
      <w:divBdr>
        <w:top w:val="none" w:sz="0" w:space="0" w:color="auto"/>
        <w:left w:val="none" w:sz="0" w:space="0" w:color="auto"/>
        <w:bottom w:val="none" w:sz="0" w:space="0" w:color="auto"/>
        <w:right w:val="none" w:sz="0" w:space="0" w:color="auto"/>
      </w:divBdr>
      <w:divsChild>
        <w:div w:id="521554646">
          <w:marLeft w:val="0"/>
          <w:marRight w:val="0"/>
          <w:marTop w:val="0"/>
          <w:marBottom w:val="0"/>
          <w:divBdr>
            <w:top w:val="none" w:sz="0" w:space="0" w:color="auto"/>
            <w:left w:val="none" w:sz="0" w:space="0" w:color="auto"/>
            <w:bottom w:val="none" w:sz="0" w:space="0" w:color="auto"/>
            <w:right w:val="none" w:sz="0" w:space="0" w:color="auto"/>
          </w:divBdr>
        </w:div>
        <w:div w:id="491071074">
          <w:marLeft w:val="0"/>
          <w:marRight w:val="0"/>
          <w:marTop w:val="0"/>
          <w:marBottom w:val="0"/>
          <w:divBdr>
            <w:top w:val="none" w:sz="0" w:space="0" w:color="auto"/>
            <w:left w:val="none" w:sz="0" w:space="0" w:color="auto"/>
            <w:bottom w:val="none" w:sz="0" w:space="0" w:color="auto"/>
            <w:right w:val="none" w:sz="0" w:space="0" w:color="auto"/>
          </w:divBdr>
        </w:div>
      </w:divsChild>
    </w:div>
    <w:div w:id="1449468063">
      <w:bodyDiv w:val="1"/>
      <w:marLeft w:val="0"/>
      <w:marRight w:val="0"/>
      <w:marTop w:val="0"/>
      <w:marBottom w:val="0"/>
      <w:divBdr>
        <w:top w:val="none" w:sz="0" w:space="0" w:color="auto"/>
        <w:left w:val="none" w:sz="0" w:space="0" w:color="auto"/>
        <w:bottom w:val="none" w:sz="0" w:space="0" w:color="auto"/>
        <w:right w:val="none" w:sz="0" w:space="0" w:color="auto"/>
      </w:divBdr>
      <w:divsChild>
        <w:div w:id="1476487409">
          <w:marLeft w:val="0"/>
          <w:marRight w:val="0"/>
          <w:marTop w:val="0"/>
          <w:marBottom w:val="0"/>
          <w:divBdr>
            <w:top w:val="none" w:sz="0" w:space="0" w:color="auto"/>
            <w:left w:val="none" w:sz="0" w:space="0" w:color="auto"/>
            <w:bottom w:val="none" w:sz="0" w:space="0" w:color="auto"/>
            <w:right w:val="none" w:sz="0" w:space="0" w:color="auto"/>
          </w:divBdr>
        </w:div>
      </w:divsChild>
    </w:div>
    <w:div w:id="1489856616">
      <w:bodyDiv w:val="1"/>
      <w:marLeft w:val="0"/>
      <w:marRight w:val="0"/>
      <w:marTop w:val="0"/>
      <w:marBottom w:val="0"/>
      <w:divBdr>
        <w:top w:val="none" w:sz="0" w:space="0" w:color="auto"/>
        <w:left w:val="none" w:sz="0" w:space="0" w:color="auto"/>
        <w:bottom w:val="none" w:sz="0" w:space="0" w:color="auto"/>
        <w:right w:val="none" w:sz="0" w:space="0" w:color="auto"/>
      </w:divBdr>
      <w:divsChild>
        <w:div w:id="1392847154">
          <w:marLeft w:val="0"/>
          <w:marRight w:val="0"/>
          <w:marTop w:val="0"/>
          <w:marBottom w:val="0"/>
          <w:divBdr>
            <w:top w:val="none" w:sz="0" w:space="0" w:color="auto"/>
            <w:left w:val="none" w:sz="0" w:space="0" w:color="auto"/>
            <w:bottom w:val="none" w:sz="0" w:space="0" w:color="auto"/>
            <w:right w:val="none" w:sz="0" w:space="0" w:color="auto"/>
          </w:divBdr>
        </w:div>
        <w:div w:id="507795459">
          <w:marLeft w:val="0"/>
          <w:marRight w:val="0"/>
          <w:marTop w:val="0"/>
          <w:marBottom w:val="0"/>
          <w:divBdr>
            <w:top w:val="none" w:sz="0" w:space="0" w:color="auto"/>
            <w:left w:val="none" w:sz="0" w:space="0" w:color="auto"/>
            <w:bottom w:val="none" w:sz="0" w:space="0" w:color="auto"/>
            <w:right w:val="none" w:sz="0" w:space="0" w:color="auto"/>
          </w:divBdr>
        </w:div>
      </w:divsChild>
    </w:div>
    <w:div w:id="1494947519">
      <w:bodyDiv w:val="1"/>
      <w:marLeft w:val="0"/>
      <w:marRight w:val="0"/>
      <w:marTop w:val="0"/>
      <w:marBottom w:val="0"/>
      <w:divBdr>
        <w:top w:val="none" w:sz="0" w:space="0" w:color="auto"/>
        <w:left w:val="none" w:sz="0" w:space="0" w:color="auto"/>
        <w:bottom w:val="none" w:sz="0" w:space="0" w:color="auto"/>
        <w:right w:val="none" w:sz="0" w:space="0" w:color="auto"/>
      </w:divBdr>
      <w:divsChild>
        <w:div w:id="2093161438">
          <w:marLeft w:val="0"/>
          <w:marRight w:val="0"/>
          <w:marTop w:val="0"/>
          <w:marBottom w:val="0"/>
          <w:divBdr>
            <w:top w:val="none" w:sz="0" w:space="0" w:color="auto"/>
            <w:left w:val="none" w:sz="0" w:space="0" w:color="auto"/>
            <w:bottom w:val="none" w:sz="0" w:space="0" w:color="auto"/>
            <w:right w:val="none" w:sz="0" w:space="0" w:color="auto"/>
          </w:divBdr>
        </w:div>
        <w:div w:id="1345739449">
          <w:marLeft w:val="0"/>
          <w:marRight w:val="0"/>
          <w:marTop w:val="0"/>
          <w:marBottom w:val="0"/>
          <w:divBdr>
            <w:top w:val="none" w:sz="0" w:space="0" w:color="auto"/>
            <w:left w:val="none" w:sz="0" w:space="0" w:color="auto"/>
            <w:bottom w:val="none" w:sz="0" w:space="0" w:color="auto"/>
            <w:right w:val="none" w:sz="0" w:space="0" w:color="auto"/>
          </w:divBdr>
        </w:div>
        <w:div w:id="806511728">
          <w:marLeft w:val="0"/>
          <w:marRight w:val="0"/>
          <w:marTop w:val="0"/>
          <w:marBottom w:val="0"/>
          <w:divBdr>
            <w:top w:val="none" w:sz="0" w:space="0" w:color="auto"/>
            <w:left w:val="none" w:sz="0" w:space="0" w:color="auto"/>
            <w:bottom w:val="none" w:sz="0" w:space="0" w:color="auto"/>
            <w:right w:val="none" w:sz="0" w:space="0" w:color="auto"/>
          </w:divBdr>
        </w:div>
        <w:div w:id="702172441">
          <w:marLeft w:val="0"/>
          <w:marRight w:val="0"/>
          <w:marTop w:val="0"/>
          <w:marBottom w:val="0"/>
          <w:divBdr>
            <w:top w:val="none" w:sz="0" w:space="0" w:color="auto"/>
            <w:left w:val="none" w:sz="0" w:space="0" w:color="auto"/>
            <w:bottom w:val="none" w:sz="0" w:space="0" w:color="auto"/>
            <w:right w:val="none" w:sz="0" w:space="0" w:color="auto"/>
          </w:divBdr>
        </w:div>
        <w:div w:id="493423461">
          <w:marLeft w:val="0"/>
          <w:marRight w:val="0"/>
          <w:marTop w:val="0"/>
          <w:marBottom w:val="0"/>
          <w:divBdr>
            <w:top w:val="none" w:sz="0" w:space="0" w:color="auto"/>
            <w:left w:val="none" w:sz="0" w:space="0" w:color="auto"/>
            <w:bottom w:val="none" w:sz="0" w:space="0" w:color="auto"/>
            <w:right w:val="none" w:sz="0" w:space="0" w:color="auto"/>
          </w:divBdr>
        </w:div>
        <w:div w:id="168638040">
          <w:marLeft w:val="0"/>
          <w:marRight w:val="0"/>
          <w:marTop w:val="0"/>
          <w:marBottom w:val="0"/>
          <w:divBdr>
            <w:top w:val="none" w:sz="0" w:space="0" w:color="auto"/>
            <w:left w:val="none" w:sz="0" w:space="0" w:color="auto"/>
            <w:bottom w:val="none" w:sz="0" w:space="0" w:color="auto"/>
            <w:right w:val="none" w:sz="0" w:space="0" w:color="auto"/>
          </w:divBdr>
        </w:div>
        <w:div w:id="1982805663">
          <w:marLeft w:val="0"/>
          <w:marRight w:val="0"/>
          <w:marTop w:val="0"/>
          <w:marBottom w:val="0"/>
          <w:divBdr>
            <w:top w:val="none" w:sz="0" w:space="0" w:color="auto"/>
            <w:left w:val="none" w:sz="0" w:space="0" w:color="auto"/>
            <w:bottom w:val="none" w:sz="0" w:space="0" w:color="auto"/>
            <w:right w:val="none" w:sz="0" w:space="0" w:color="auto"/>
          </w:divBdr>
        </w:div>
        <w:div w:id="87432089">
          <w:marLeft w:val="0"/>
          <w:marRight w:val="0"/>
          <w:marTop w:val="0"/>
          <w:marBottom w:val="0"/>
          <w:divBdr>
            <w:top w:val="none" w:sz="0" w:space="0" w:color="auto"/>
            <w:left w:val="none" w:sz="0" w:space="0" w:color="auto"/>
            <w:bottom w:val="none" w:sz="0" w:space="0" w:color="auto"/>
            <w:right w:val="none" w:sz="0" w:space="0" w:color="auto"/>
          </w:divBdr>
        </w:div>
        <w:div w:id="341589622">
          <w:marLeft w:val="0"/>
          <w:marRight w:val="0"/>
          <w:marTop w:val="0"/>
          <w:marBottom w:val="0"/>
          <w:divBdr>
            <w:top w:val="none" w:sz="0" w:space="0" w:color="auto"/>
            <w:left w:val="none" w:sz="0" w:space="0" w:color="auto"/>
            <w:bottom w:val="none" w:sz="0" w:space="0" w:color="auto"/>
            <w:right w:val="none" w:sz="0" w:space="0" w:color="auto"/>
          </w:divBdr>
        </w:div>
        <w:div w:id="687367723">
          <w:marLeft w:val="0"/>
          <w:marRight w:val="0"/>
          <w:marTop w:val="0"/>
          <w:marBottom w:val="0"/>
          <w:divBdr>
            <w:top w:val="none" w:sz="0" w:space="0" w:color="auto"/>
            <w:left w:val="none" w:sz="0" w:space="0" w:color="auto"/>
            <w:bottom w:val="none" w:sz="0" w:space="0" w:color="auto"/>
            <w:right w:val="none" w:sz="0" w:space="0" w:color="auto"/>
          </w:divBdr>
        </w:div>
        <w:div w:id="236981680">
          <w:marLeft w:val="0"/>
          <w:marRight w:val="0"/>
          <w:marTop w:val="0"/>
          <w:marBottom w:val="0"/>
          <w:divBdr>
            <w:top w:val="none" w:sz="0" w:space="0" w:color="auto"/>
            <w:left w:val="none" w:sz="0" w:space="0" w:color="auto"/>
            <w:bottom w:val="none" w:sz="0" w:space="0" w:color="auto"/>
            <w:right w:val="none" w:sz="0" w:space="0" w:color="auto"/>
          </w:divBdr>
        </w:div>
        <w:div w:id="1170171477">
          <w:marLeft w:val="0"/>
          <w:marRight w:val="0"/>
          <w:marTop w:val="0"/>
          <w:marBottom w:val="0"/>
          <w:divBdr>
            <w:top w:val="none" w:sz="0" w:space="0" w:color="auto"/>
            <w:left w:val="none" w:sz="0" w:space="0" w:color="auto"/>
            <w:bottom w:val="none" w:sz="0" w:space="0" w:color="auto"/>
            <w:right w:val="none" w:sz="0" w:space="0" w:color="auto"/>
          </w:divBdr>
        </w:div>
        <w:div w:id="546769866">
          <w:marLeft w:val="0"/>
          <w:marRight w:val="0"/>
          <w:marTop w:val="0"/>
          <w:marBottom w:val="0"/>
          <w:divBdr>
            <w:top w:val="none" w:sz="0" w:space="0" w:color="auto"/>
            <w:left w:val="none" w:sz="0" w:space="0" w:color="auto"/>
            <w:bottom w:val="none" w:sz="0" w:space="0" w:color="auto"/>
            <w:right w:val="none" w:sz="0" w:space="0" w:color="auto"/>
          </w:divBdr>
        </w:div>
        <w:div w:id="396128198">
          <w:marLeft w:val="0"/>
          <w:marRight w:val="0"/>
          <w:marTop w:val="0"/>
          <w:marBottom w:val="0"/>
          <w:divBdr>
            <w:top w:val="none" w:sz="0" w:space="0" w:color="auto"/>
            <w:left w:val="none" w:sz="0" w:space="0" w:color="auto"/>
            <w:bottom w:val="none" w:sz="0" w:space="0" w:color="auto"/>
            <w:right w:val="none" w:sz="0" w:space="0" w:color="auto"/>
          </w:divBdr>
        </w:div>
        <w:div w:id="830488326">
          <w:marLeft w:val="0"/>
          <w:marRight w:val="0"/>
          <w:marTop w:val="0"/>
          <w:marBottom w:val="0"/>
          <w:divBdr>
            <w:top w:val="none" w:sz="0" w:space="0" w:color="auto"/>
            <w:left w:val="none" w:sz="0" w:space="0" w:color="auto"/>
            <w:bottom w:val="none" w:sz="0" w:space="0" w:color="auto"/>
            <w:right w:val="none" w:sz="0" w:space="0" w:color="auto"/>
          </w:divBdr>
        </w:div>
      </w:divsChild>
    </w:div>
    <w:div w:id="1517184404">
      <w:bodyDiv w:val="1"/>
      <w:marLeft w:val="0"/>
      <w:marRight w:val="0"/>
      <w:marTop w:val="0"/>
      <w:marBottom w:val="0"/>
      <w:divBdr>
        <w:top w:val="none" w:sz="0" w:space="0" w:color="auto"/>
        <w:left w:val="none" w:sz="0" w:space="0" w:color="auto"/>
        <w:bottom w:val="none" w:sz="0" w:space="0" w:color="auto"/>
        <w:right w:val="none" w:sz="0" w:space="0" w:color="auto"/>
      </w:divBdr>
      <w:divsChild>
        <w:div w:id="1283459973">
          <w:marLeft w:val="0"/>
          <w:marRight w:val="0"/>
          <w:marTop w:val="0"/>
          <w:marBottom w:val="0"/>
          <w:divBdr>
            <w:top w:val="none" w:sz="0" w:space="0" w:color="auto"/>
            <w:left w:val="none" w:sz="0" w:space="0" w:color="auto"/>
            <w:bottom w:val="none" w:sz="0" w:space="0" w:color="auto"/>
            <w:right w:val="none" w:sz="0" w:space="0" w:color="auto"/>
          </w:divBdr>
        </w:div>
        <w:div w:id="1468356706">
          <w:marLeft w:val="0"/>
          <w:marRight w:val="0"/>
          <w:marTop w:val="0"/>
          <w:marBottom w:val="0"/>
          <w:divBdr>
            <w:top w:val="none" w:sz="0" w:space="0" w:color="auto"/>
            <w:left w:val="none" w:sz="0" w:space="0" w:color="auto"/>
            <w:bottom w:val="none" w:sz="0" w:space="0" w:color="auto"/>
            <w:right w:val="none" w:sz="0" w:space="0" w:color="auto"/>
          </w:divBdr>
        </w:div>
        <w:div w:id="2030445679">
          <w:marLeft w:val="0"/>
          <w:marRight w:val="0"/>
          <w:marTop w:val="0"/>
          <w:marBottom w:val="0"/>
          <w:divBdr>
            <w:top w:val="none" w:sz="0" w:space="0" w:color="auto"/>
            <w:left w:val="none" w:sz="0" w:space="0" w:color="auto"/>
            <w:bottom w:val="none" w:sz="0" w:space="0" w:color="auto"/>
            <w:right w:val="none" w:sz="0" w:space="0" w:color="auto"/>
          </w:divBdr>
        </w:div>
        <w:div w:id="1617832522">
          <w:marLeft w:val="0"/>
          <w:marRight w:val="0"/>
          <w:marTop w:val="0"/>
          <w:marBottom w:val="0"/>
          <w:divBdr>
            <w:top w:val="none" w:sz="0" w:space="0" w:color="auto"/>
            <w:left w:val="none" w:sz="0" w:space="0" w:color="auto"/>
            <w:bottom w:val="none" w:sz="0" w:space="0" w:color="auto"/>
            <w:right w:val="none" w:sz="0" w:space="0" w:color="auto"/>
          </w:divBdr>
        </w:div>
      </w:divsChild>
    </w:div>
    <w:div w:id="1564946481">
      <w:bodyDiv w:val="1"/>
      <w:marLeft w:val="0"/>
      <w:marRight w:val="0"/>
      <w:marTop w:val="0"/>
      <w:marBottom w:val="0"/>
      <w:divBdr>
        <w:top w:val="none" w:sz="0" w:space="0" w:color="auto"/>
        <w:left w:val="none" w:sz="0" w:space="0" w:color="auto"/>
        <w:bottom w:val="none" w:sz="0" w:space="0" w:color="auto"/>
        <w:right w:val="none" w:sz="0" w:space="0" w:color="auto"/>
      </w:divBdr>
      <w:divsChild>
        <w:div w:id="891767746">
          <w:marLeft w:val="0"/>
          <w:marRight w:val="0"/>
          <w:marTop w:val="0"/>
          <w:marBottom w:val="0"/>
          <w:divBdr>
            <w:top w:val="none" w:sz="0" w:space="0" w:color="auto"/>
            <w:left w:val="none" w:sz="0" w:space="0" w:color="auto"/>
            <w:bottom w:val="none" w:sz="0" w:space="0" w:color="auto"/>
            <w:right w:val="none" w:sz="0" w:space="0" w:color="auto"/>
          </w:divBdr>
        </w:div>
        <w:div w:id="2080865545">
          <w:marLeft w:val="0"/>
          <w:marRight w:val="0"/>
          <w:marTop w:val="0"/>
          <w:marBottom w:val="0"/>
          <w:divBdr>
            <w:top w:val="none" w:sz="0" w:space="0" w:color="auto"/>
            <w:left w:val="none" w:sz="0" w:space="0" w:color="auto"/>
            <w:bottom w:val="none" w:sz="0" w:space="0" w:color="auto"/>
            <w:right w:val="none" w:sz="0" w:space="0" w:color="auto"/>
          </w:divBdr>
        </w:div>
      </w:divsChild>
    </w:div>
    <w:div w:id="1644457411">
      <w:bodyDiv w:val="1"/>
      <w:marLeft w:val="0"/>
      <w:marRight w:val="0"/>
      <w:marTop w:val="0"/>
      <w:marBottom w:val="0"/>
      <w:divBdr>
        <w:top w:val="none" w:sz="0" w:space="0" w:color="auto"/>
        <w:left w:val="none" w:sz="0" w:space="0" w:color="auto"/>
        <w:bottom w:val="none" w:sz="0" w:space="0" w:color="auto"/>
        <w:right w:val="none" w:sz="0" w:space="0" w:color="auto"/>
      </w:divBdr>
    </w:div>
    <w:div w:id="1692796497">
      <w:bodyDiv w:val="1"/>
      <w:marLeft w:val="0"/>
      <w:marRight w:val="0"/>
      <w:marTop w:val="0"/>
      <w:marBottom w:val="0"/>
      <w:divBdr>
        <w:top w:val="none" w:sz="0" w:space="0" w:color="auto"/>
        <w:left w:val="none" w:sz="0" w:space="0" w:color="auto"/>
        <w:bottom w:val="none" w:sz="0" w:space="0" w:color="auto"/>
        <w:right w:val="none" w:sz="0" w:space="0" w:color="auto"/>
      </w:divBdr>
      <w:divsChild>
        <w:div w:id="1126312441">
          <w:marLeft w:val="0"/>
          <w:marRight w:val="0"/>
          <w:marTop w:val="0"/>
          <w:marBottom w:val="0"/>
          <w:divBdr>
            <w:top w:val="none" w:sz="0" w:space="0" w:color="auto"/>
            <w:left w:val="none" w:sz="0" w:space="0" w:color="auto"/>
            <w:bottom w:val="none" w:sz="0" w:space="0" w:color="auto"/>
            <w:right w:val="none" w:sz="0" w:space="0" w:color="auto"/>
          </w:divBdr>
        </w:div>
        <w:div w:id="681661181">
          <w:marLeft w:val="0"/>
          <w:marRight w:val="0"/>
          <w:marTop w:val="0"/>
          <w:marBottom w:val="0"/>
          <w:divBdr>
            <w:top w:val="none" w:sz="0" w:space="0" w:color="auto"/>
            <w:left w:val="none" w:sz="0" w:space="0" w:color="auto"/>
            <w:bottom w:val="none" w:sz="0" w:space="0" w:color="auto"/>
            <w:right w:val="none" w:sz="0" w:space="0" w:color="auto"/>
          </w:divBdr>
        </w:div>
        <w:div w:id="1302731515">
          <w:marLeft w:val="0"/>
          <w:marRight w:val="0"/>
          <w:marTop w:val="0"/>
          <w:marBottom w:val="0"/>
          <w:divBdr>
            <w:top w:val="none" w:sz="0" w:space="0" w:color="auto"/>
            <w:left w:val="none" w:sz="0" w:space="0" w:color="auto"/>
            <w:bottom w:val="none" w:sz="0" w:space="0" w:color="auto"/>
            <w:right w:val="none" w:sz="0" w:space="0" w:color="auto"/>
          </w:divBdr>
        </w:div>
      </w:divsChild>
    </w:div>
    <w:div w:id="1694572632">
      <w:bodyDiv w:val="1"/>
      <w:marLeft w:val="0"/>
      <w:marRight w:val="0"/>
      <w:marTop w:val="0"/>
      <w:marBottom w:val="0"/>
      <w:divBdr>
        <w:top w:val="none" w:sz="0" w:space="0" w:color="auto"/>
        <w:left w:val="none" w:sz="0" w:space="0" w:color="auto"/>
        <w:bottom w:val="none" w:sz="0" w:space="0" w:color="auto"/>
        <w:right w:val="none" w:sz="0" w:space="0" w:color="auto"/>
      </w:divBdr>
      <w:divsChild>
        <w:div w:id="1842158187">
          <w:marLeft w:val="0"/>
          <w:marRight w:val="0"/>
          <w:marTop w:val="0"/>
          <w:marBottom w:val="0"/>
          <w:divBdr>
            <w:top w:val="none" w:sz="0" w:space="0" w:color="auto"/>
            <w:left w:val="none" w:sz="0" w:space="0" w:color="auto"/>
            <w:bottom w:val="none" w:sz="0" w:space="0" w:color="auto"/>
            <w:right w:val="none" w:sz="0" w:space="0" w:color="auto"/>
          </w:divBdr>
        </w:div>
        <w:div w:id="1259632017">
          <w:marLeft w:val="0"/>
          <w:marRight w:val="0"/>
          <w:marTop w:val="0"/>
          <w:marBottom w:val="0"/>
          <w:divBdr>
            <w:top w:val="none" w:sz="0" w:space="0" w:color="auto"/>
            <w:left w:val="none" w:sz="0" w:space="0" w:color="auto"/>
            <w:bottom w:val="none" w:sz="0" w:space="0" w:color="auto"/>
            <w:right w:val="none" w:sz="0" w:space="0" w:color="auto"/>
          </w:divBdr>
        </w:div>
      </w:divsChild>
    </w:div>
    <w:div w:id="1703091554">
      <w:bodyDiv w:val="1"/>
      <w:marLeft w:val="0"/>
      <w:marRight w:val="0"/>
      <w:marTop w:val="0"/>
      <w:marBottom w:val="0"/>
      <w:divBdr>
        <w:top w:val="none" w:sz="0" w:space="0" w:color="auto"/>
        <w:left w:val="none" w:sz="0" w:space="0" w:color="auto"/>
        <w:bottom w:val="none" w:sz="0" w:space="0" w:color="auto"/>
        <w:right w:val="none" w:sz="0" w:space="0" w:color="auto"/>
      </w:divBdr>
      <w:divsChild>
        <w:div w:id="2063139860">
          <w:marLeft w:val="0"/>
          <w:marRight w:val="0"/>
          <w:marTop w:val="0"/>
          <w:marBottom w:val="0"/>
          <w:divBdr>
            <w:top w:val="none" w:sz="0" w:space="0" w:color="auto"/>
            <w:left w:val="none" w:sz="0" w:space="0" w:color="auto"/>
            <w:bottom w:val="none" w:sz="0" w:space="0" w:color="auto"/>
            <w:right w:val="none" w:sz="0" w:space="0" w:color="auto"/>
          </w:divBdr>
        </w:div>
        <w:div w:id="1938975116">
          <w:marLeft w:val="0"/>
          <w:marRight w:val="0"/>
          <w:marTop w:val="0"/>
          <w:marBottom w:val="0"/>
          <w:divBdr>
            <w:top w:val="none" w:sz="0" w:space="0" w:color="auto"/>
            <w:left w:val="none" w:sz="0" w:space="0" w:color="auto"/>
            <w:bottom w:val="none" w:sz="0" w:space="0" w:color="auto"/>
            <w:right w:val="none" w:sz="0" w:space="0" w:color="auto"/>
          </w:divBdr>
        </w:div>
        <w:div w:id="1914852474">
          <w:marLeft w:val="0"/>
          <w:marRight w:val="0"/>
          <w:marTop w:val="0"/>
          <w:marBottom w:val="0"/>
          <w:divBdr>
            <w:top w:val="none" w:sz="0" w:space="0" w:color="auto"/>
            <w:left w:val="none" w:sz="0" w:space="0" w:color="auto"/>
            <w:bottom w:val="none" w:sz="0" w:space="0" w:color="auto"/>
            <w:right w:val="none" w:sz="0" w:space="0" w:color="auto"/>
          </w:divBdr>
        </w:div>
        <w:div w:id="1619797394">
          <w:marLeft w:val="0"/>
          <w:marRight w:val="0"/>
          <w:marTop w:val="0"/>
          <w:marBottom w:val="0"/>
          <w:divBdr>
            <w:top w:val="none" w:sz="0" w:space="0" w:color="auto"/>
            <w:left w:val="none" w:sz="0" w:space="0" w:color="auto"/>
            <w:bottom w:val="none" w:sz="0" w:space="0" w:color="auto"/>
            <w:right w:val="none" w:sz="0" w:space="0" w:color="auto"/>
          </w:divBdr>
        </w:div>
        <w:div w:id="104539237">
          <w:marLeft w:val="0"/>
          <w:marRight w:val="0"/>
          <w:marTop w:val="0"/>
          <w:marBottom w:val="0"/>
          <w:divBdr>
            <w:top w:val="none" w:sz="0" w:space="0" w:color="auto"/>
            <w:left w:val="none" w:sz="0" w:space="0" w:color="auto"/>
            <w:bottom w:val="none" w:sz="0" w:space="0" w:color="auto"/>
            <w:right w:val="none" w:sz="0" w:space="0" w:color="auto"/>
          </w:divBdr>
        </w:div>
        <w:div w:id="618951321">
          <w:marLeft w:val="0"/>
          <w:marRight w:val="0"/>
          <w:marTop w:val="0"/>
          <w:marBottom w:val="0"/>
          <w:divBdr>
            <w:top w:val="none" w:sz="0" w:space="0" w:color="auto"/>
            <w:left w:val="none" w:sz="0" w:space="0" w:color="auto"/>
            <w:bottom w:val="none" w:sz="0" w:space="0" w:color="auto"/>
            <w:right w:val="none" w:sz="0" w:space="0" w:color="auto"/>
          </w:divBdr>
        </w:div>
        <w:div w:id="320041911">
          <w:marLeft w:val="0"/>
          <w:marRight w:val="0"/>
          <w:marTop w:val="0"/>
          <w:marBottom w:val="0"/>
          <w:divBdr>
            <w:top w:val="none" w:sz="0" w:space="0" w:color="auto"/>
            <w:left w:val="none" w:sz="0" w:space="0" w:color="auto"/>
            <w:bottom w:val="none" w:sz="0" w:space="0" w:color="auto"/>
            <w:right w:val="none" w:sz="0" w:space="0" w:color="auto"/>
          </w:divBdr>
        </w:div>
      </w:divsChild>
    </w:div>
    <w:div w:id="1738279101">
      <w:bodyDiv w:val="1"/>
      <w:marLeft w:val="0"/>
      <w:marRight w:val="0"/>
      <w:marTop w:val="0"/>
      <w:marBottom w:val="0"/>
      <w:divBdr>
        <w:top w:val="none" w:sz="0" w:space="0" w:color="auto"/>
        <w:left w:val="none" w:sz="0" w:space="0" w:color="auto"/>
        <w:bottom w:val="none" w:sz="0" w:space="0" w:color="auto"/>
        <w:right w:val="none" w:sz="0" w:space="0" w:color="auto"/>
      </w:divBdr>
      <w:divsChild>
        <w:div w:id="884104249">
          <w:marLeft w:val="0"/>
          <w:marRight w:val="0"/>
          <w:marTop w:val="0"/>
          <w:marBottom w:val="0"/>
          <w:divBdr>
            <w:top w:val="none" w:sz="0" w:space="0" w:color="auto"/>
            <w:left w:val="none" w:sz="0" w:space="0" w:color="auto"/>
            <w:bottom w:val="none" w:sz="0" w:space="0" w:color="auto"/>
            <w:right w:val="none" w:sz="0" w:space="0" w:color="auto"/>
          </w:divBdr>
        </w:div>
        <w:div w:id="2034190677">
          <w:marLeft w:val="0"/>
          <w:marRight w:val="0"/>
          <w:marTop w:val="0"/>
          <w:marBottom w:val="0"/>
          <w:divBdr>
            <w:top w:val="none" w:sz="0" w:space="0" w:color="auto"/>
            <w:left w:val="none" w:sz="0" w:space="0" w:color="auto"/>
            <w:bottom w:val="none" w:sz="0" w:space="0" w:color="auto"/>
            <w:right w:val="none" w:sz="0" w:space="0" w:color="auto"/>
          </w:divBdr>
        </w:div>
      </w:divsChild>
    </w:div>
    <w:div w:id="1802575448">
      <w:bodyDiv w:val="1"/>
      <w:marLeft w:val="0"/>
      <w:marRight w:val="0"/>
      <w:marTop w:val="0"/>
      <w:marBottom w:val="0"/>
      <w:divBdr>
        <w:top w:val="none" w:sz="0" w:space="0" w:color="auto"/>
        <w:left w:val="none" w:sz="0" w:space="0" w:color="auto"/>
        <w:bottom w:val="none" w:sz="0" w:space="0" w:color="auto"/>
        <w:right w:val="none" w:sz="0" w:space="0" w:color="auto"/>
      </w:divBdr>
      <w:divsChild>
        <w:div w:id="1104770528">
          <w:marLeft w:val="0"/>
          <w:marRight w:val="0"/>
          <w:marTop w:val="0"/>
          <w:marBottom w:val="0"/>
          <w:divBdr>
            <w:top w:val="none" w:sz="0" w:space="0" w:color="auto"/>
            <w:left w:val="none" w:sz="0" w:space="0" w:color="auto"/>
            <w:bottom w:val="none" w:sz="0" w:space="0" w:color="auto"/>
            <w:right w:val="none" w:sz="0" w:space="0" w:color="auto"/>
          </w:divBdr>
          <w:divsChild>
            <w:div w:id="1306427116">
              <w:marLeft w:val="0"/>
              <w:marRight w:val="0"/>
              <w:marTop w:val="0"/>
              <w:marBottom w:val="0"/>
              <w:divBdr>
                <w:top w:val="none" w:sz="0" w:space="0" w:color="auto"/>
                <w:left w:val="none" w:sz="0" w:space="0" w:color="auto"/>
                <w:bottom w:val="none" w:sz="0" w:space="0" w:color="auto"/>
                <w:right w:val="none" w:sz="0" w:space="0" w:color="auto"/>
              </w:divBdr>
              <w:divsChild>
                <w:div w:id="1710493736">
                  <w:marLeft w:val="0"/>
                  <w:marRight w:val="0"/>
                  <w:marTop w:val="0"/>
                  <w:marBottom w:val="0"/>
                  <w:divBdr>
                    <w:top w:val="none" w:sz="0" w:space="0" w:color="auto"/>
                    <w:left w:val="none" w:sz="0" w:space="0" w:color="auto"/>
                    <w:bottom w:val="none" w:sz="0" w:space="0" w:color="auto"/>
                    <w:right w:val="none" w:sz="0" w:space="0" w:color="auto"/>
                  </w:divBdr>
                  <w:divsChild>
                    <w:div w:id="1710568547">
                      <w:marLeft w:val="0"/>
                      <w:marRight w:val="0"/>
                      <w:marTop w:val="0"/>
                      <w:marBottom w:val="0"/>
                      <w:divBdr>
                        <w:top w:val="none" w:sz="0" w:space="0" w:color="auto"/>
                        <w:left w:val="none" w:sz="0" w:space="0" w:color="auto"/>
                        <w:bottom w:val="none" w:sz="0" w:space="0" w:color="auto"/>
                        <w:right w:val="none" w:sz="0" w:space="0" w:color="auto"/>
                      </w:divBdr>
                    </w:div>
                    <w:div w:id="1392852001">
                      <w:marLeft w:val="0"/>
                      <w:marRight w:val="0"/>
                      <w:marTop w:val="0"/>
                      <w:marBottom w:val="0"/>
                      <w:divBdr>
                        <w:top w:val="none" w:sz="0" w:space="0" w:color="auto"/>
                        <w:left w:val="none" w:sz="0" w:space="0" w:color="auto"/>
                        <w:bottom w:val="none" w:sz="0" w:space="0" w:color="auto"/>
                        <w:right w:val="none" w:sz="0" w:space="0" w:color="auto"/>
                      </w:divBdr>
                    </w:div>
                    <w:div w:id="511577063">
                      <w:marLeft w:val="0"/>
                      <w:marRight w:val="0"/>
                      <w:marTop w:val="0"/>
                      <w:marBottom w:val="0"/>
                      <w:divBdr>
                        <w:top w:val="none" w:sz="0" w:space="0" w:color="auto"/>
                        <w:left w:val="none" w:sz="0" w:space="0" w:color="auto"/>
                        <w:bottom w:val="none" w:sz="0" w:space="0" w:color="auto"/>
                        <w:right w:val="none" w:sz="0" w:space="0" w:color="auto"/>
                      </w:divBdr>
                    </w:div>
                    <w:div w:id="1181318482">
                      <w:marLeft w:val="0"/>
                      <w:marRight w:val="0"/>
                      <w:marTop w:val="0"/>
                      <w:marBottom w:val="0"/>
                      <w:divBdr>
                        <w:top w:val="none" w:sz="0" w:space="0" w:color="auto"/>
                        <w:left w:val="none" w:sz="0" w:space="0" w:color="auto"/>
                        <w:bottom w:val="none" w:sz="0" w:space="0" w:color="auto"/>
                        <w:right w:val="none" w:sz="0" w:space="0" w:color="auto"/>
                      </w:divBdr>
                    </w:div>
                    <w:div w:id="1486049808">
                      <w:marLeft w:val="0"/>
                      <w:marRight w:val="0"/>
                      <w:marTop w:val="0"/>
                      <w:marBottom w:val="0"/>
                      <w:divBdr>
                        <w:top w:val="none" w:sz="0" w:space="0" w:color="auto"/>
                        <w:left w:val="none" w:sz="0" w:space="0" w:color="auto"/>
                        <w:bottom w:val="none" w:sz="0" w:space="0" w:color="auto"/>
                        <w:right w:val="none" w:sz="0" w:space="0" w:color="auto"/>
                      </w:divBdr>
                    </w:div>
                    <w:div w:id="124348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903016">
      <w:bodyDiv w:val="1"/>
      <w:marLeft w:val="0"/>
      <w:marRight w:val="0"/>
      <w:marTop w:val="0"/>
      <w:marBottom w:val="0"/>
      <w:divBdr>
        <w:top w:val="none" w:sz="0" w:space="0" w:color="auto"/>
        <w:left w:val="none" w:sz="0" w:space="0" w:color="auto"/>
        <w:bottom w:val="none" w:sz="0" w:space="0" w:color="auto"/>
        <w:right w:val="none" w:sz="0" w:space="0" w:color="auto"/>
      </w:divBdr>
      <w:divsChild>
        <w:div w:id="1264418753">
          <w:marLeft w:val="0"/>
          <w:marRight w:val="0"/>
          <w:marTop w:val="0"/>
          <w:marBottom w:val="0"/>
          <w:divBdr>
            <w:top w:val="none" w:sz="0" w:space="0" w:color="auto"/>
            <w:left w:val="none" w:sz="0" w:space="0" w:color="auto"/>
            <w:bottom w:val="none" w:sz="0" w:space="0" w:color="auto"/>
            <w:right w:val="none" w:sz="0" w:space="0" w:color="auto"/>
          </w:divBdr>
        </w:div>
        <w:div w:id="506528901">
          <w:marLeft w:val="0"/>
          <w:marRight w:val="0"/>
          <w:marTop w:val="0"/>
          <w:marBottom w:val="0"/>
          <w:divBdr>
            <w:top w:val="none" w:sz="0" w:space="0" w:color="auto"/>
            <w:left w:val="none" w:sz="0" w:space="0" w:color="auto"/>
            <w:bottom w:val="none" w:sz="0" w:space="0" w:color="auto"/>
            <w:right w:val="none" w:sz="0" w:space="0" w:color="auto"/>
          </w:divBdr>
        </w:div>
      </w:divsChild>
    </w:div>
    <w:div w:id="1940598450">
      <w:bodyDiv w:val="1"/>
      <w:marLeft w:val="0"/>
      <w:marRight w:val="0"/>
      <w:marTop w:val="0"/>
      <w:marBottom w:val="0"/>
      <w:divBdr>
        <w:top w:val="none" w:sz="0" w:space="0" w:color="auto"/>
        <w:left w:val="none" w:sz="0" w:space="0" w:color="auto"/>
        <w:bottom w:val="none" w:sz="0" w:space="0" w:color="auto"/>
        <w:right w:val="none" w:sz="0" w:space="0" w:color="auto"/>
      </w:divBdr>
      <w:divsChild>
        <w:div w:id="11028574">
          <w:marLeft w:val="0"/>
          <w:marRight w:val="0"/>
          <w:marTop w:val="0"/>
          <w:marBottom w:val="0"/>
          <w:divBdr>
            <w:top w:val="none" w:sz="0" w:space="0" w:color="auto"/>
            <w:left w:val="none" w:sz="0" w:space="0" w:color="auto"/>
            <w:bottom w:val="none" w:sz="0" w:space="0" w:color="auto"/>
            <w:right w:val="none" w:sz="0" w:space="0" w:color="auto"/>
          </w:divBdr>
        </w:div>
      </w:divsChild>
    </w:div>
    <w:div w:id="2121491667">
      <w:bodyDiv w:val="1"/>
      <w:marLeft w:val="0"/>
      <w:marRight w:val="0"/>
      <w:marTop w:val="0"/>
      <w:marBottom w:val="0"/>
      <w:divBdr>
        <w:top w:val="none" w:sz="0" w:space="0" w:color="auto"/>
        <w:left w:val="none" w:sz="0" w:space="0" w:color="auto"/>
        <w:bottom w:val="none" w:sz="0" w:space="0" w:color="auto"/>
        <w:right w:val="none" w:sz="0" w:space="0" w:color="auto"/>
      </w:divBdr>
      <w:divsChild>
        <w:div w:id="893658087">
          <w:marLeft w:val="0"/>
          <w:marRight w:val="0"/>
          <w:marTop w:val="0"/>
          <w:marBottom w:val="0"/>
          <w:divBdr>
            <w:top w:val="none" w:sz="0" w:space="0" w:color="auto"/>
            <w:left w:val="none" w:sz="0" w:space="0" w:color="auto"/>
            <w:bottom w:val="none" w:sz="0" w:space="0" w:color="auto"/>
            <w:right w:val="none" w:sz="0" w:space="0" w:color="auto"/>
          </w:divBdr>
        </w:div>
      </w:divsChild>
    </w:div>
    <w:div w:id="212757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2" Type="http://schemas.openxmlformats.org/officeDocument/2006/relationships/fontTable" Target="fontTable.xml"/><Relationship Id="rId13" Type="http://schemas.openxmlformats.org/officeDocument/2006/relationships/theme" Target="theme/theme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6" Type="http://schemas.openxmlformats.org/officeDocument/2006/relationships/footnotes" Target="footnotes.xml"/><Relationship Id="rId64" Type="http://schemas.openxmlformats.org/officeDocument/2006/relationships/header" Target="header1.xml"/><Relationship Id="rId65" Type="http://schemas.openxmlformats.org/officeDocument/2006/relationships/footer" Target="footer1.xml"/><Relationship Id="rId66" Type="http://schemas.openxmlformats.org/officeDocument/2006/relationships/image" Target="media/image3.png"/><Relationship Id="rId67" Type="http://schemas.openxmlformats.org/officeDocument/2006/relationships/image" Target="media/image4.png"/><Relationship Id="rId68" Type="http://schemas.openxmlformats.org/officeDocument/2006/relationships/image" Target="media/image5.png"/><Relationship Id="rId69" Type="http://schemas.openxmlformats.org/officeDocument/2006/relationships/image" Target="media/image6.png"/><Relationship Id="rId7" Type="http://schemas.openxmlformats.org/officeDocument/2006/relationships/endnotes" Target="endnotes.xml"/><Relationship Id="rId70" Type="http://schemas.openxmlformats.org/officeDocument/2006/relationships/image" Target="media/image7.png"/><Relationship Id="rId71" Type="http://schemas.openxmlformats.org/officeDocument/2006/relationships/header" Target="header2.xml"/><Relationship Id="rId72" Type="http://schemas.openxmlformats.org/officeDocument/2006/relationships/footer" Target="footer2.xml"/><Relationship Id="rId1" Type="http://schemas.openxmlformats.org/officeDocument/2006/relationships/customXml" Target="../customXml/item1.xml"/><Relationship Id="rId5"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等线 Light"/>
        <a:font script="Hant" typeface="新細明體"/>
        <a:font script="Jpan" typeface="游ゴシック Light"/>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等线"/>
        <a:font script="Hant" typeface="新細明體"/>
        <a:font script="Jpan" typeface="游明朝"/>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A9940-5433-4D94-A33B-841C2A49B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93</Pages>
  <Words>22467</Words>
  <Characters>128062</Characters>
  <Application>Microsoft Office Word</Application>
  <DocSecurity>0</DocSecurity>
  <Lines>1067</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Аурика</dc:creator>
  <cp:lastModifiedBy>Неизвестный автор</cp:lastModifiedBy>
</cp:coreProperties>
</file>