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CAE" w:rsidRDefault="00127CAE" w:rsidP="00127CAE">
      <w:pPr>
        <w:rPr>
          <w:b/>
          <w:lang w:eastAsia="ru-RU"/>
        </w:rPr>
      </w:pPr>
      <w:r w:rsidRPr="00127CAE">
        <w:rPr>
          <w:b/>
          <w:lang w:eastAsia="ru-RU"/>
        </w:rPr>
        <w:t>Содержание</w:t>
      </w:r>
    </w:p>
    <w:sdt>
      <w:sdtPr>
        <w:rPr>
          <w:rFonts w:ascii="Times New Roman" w:eastAsiaTheme="minorHAnsi" w:hAnsi="Times New Roman" w:cs="Times New Roman"/>
          <w:b w:val="0"/>
          <w:bCs w:val="0"/>
          <w:color w:val="auto"/>
          <w:szCs w:val="22"/>
          <w:lang w:eastAsia="en-US"/>
        </w:rPr>
        <w:id w:val="740916332"/>
        <w:docPartObj>
          <w:docPartGallery w:val="Table of Contents"/>
          <w:docPartUnique/>
        </w:docPartObj>
      </w:sdtPr>
      <w:sdtEndPr/>
      <w:sdtContent>
        <w:p w:rsidR="0009573B" w:rsidRDefault="0009573B">
          <w:pPr>
            <w:pStyle w:val="ac"/>
          </w:pPr>
        </w:p>
        <w:p w:rsidR="0009573B" w:rsidRDefault="0009573B" w:rsidP="0009573B">
          <w:pPr>
            <w:pStyle w:val="11"/>
            <w:tabs>
              <w:tab w:val="right" w:leader="dot" w:pos="9345"/>
            </w:tabs>
            <w:ind w:firstLine="0"/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8084897" w:history="1">
            <w:r w:rsidRPr="00700BB9">
              <w:rPr>
                <w:rStyle w:val="ad"/>
                <w:rFonts w:eastAsia="Times New Roman"/>
                <w:noProof/>
                <w:lang w:eastAsia="ru-RU"/>
              </w:rPr>
              <w:t>1. Основные виды технологических решений. Понятие технологических решений. Виды и параметры технологических решений. Критерии технологических решений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_Toc498084897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9573B" w:rsidRDefault="00021970" w:rsidP="0009573B">
          <w:pPr>
            <w:pStyle w:val="11"/>
            <w:tabs>
              <w:tab w:val="right" w:leader="dot" w:pos="9345"/>
            </w:tabs>
            <w:ind w:firstLine="0"/>
            <w:rPr>
              <w:noProof/>
            </w:rPr>
          </w:pPr>
          <w:hyperlink w:anchor="_Toc498084898" w:history="1">
            <w:r w:rsidR="0009573B" w:rsidRPr="00700BB9">
              <w:rPr>
                <w:rStyle w:val="ad"/>
                <w:rFonts w:eastAsia="Times New Roman"/>
                <w:noProof/>
                <w:lang w:eastAsia="ru-RU"/>
              </w:rPr>
              <w:t>2. Инновации и экономический рост. Значение инноваций для отечественных  предприятий</w:t>
            </w:r>
            <w:r w:rsidR="0009573B">
              <w:rPr>
                <w:noProof/>
                <w:webHidden/>
              </w:rPr>
              <w:tab/>
            </w:r>
            <w:r w:rsidR="0009573B">
              <w:rPr>
                <w:noProof/>
                <w:webHidden/>
              </w:rPr>
              <w:fldChar w:fldCharType="begin"/>
            </w:r>
            <w:r w:rsidR="0009573B">
              <w:rPr>
                <w:noProof/>
                <w:webHidden/>
              </w:rPr>
              <w:instrText xml:space="preserve"> PAGEREF _Toc498084898 \h </w:instrText>
            </w:r>
            <w:r w:rsidR="0009573B">
              <w:rPr>
                <w:noProof/>
                <w:webHidden/>
              </w:rPr>
            </w:r>
            <w:r w:rsidR="0009573B">
              <w:rPr>
                <w:noProof/>
                <w:webHidden/>
              </w:rPr>
              <w:fldChar w:fldCharType="separate"/>
            </w:r>
            <w:r w:rsidR="0009573B">
              <w:rPr>
                <w:noProof/>
                <w:webHidden/>
              </w:rPr>
              <w:t>12</w:t>
            </w:r>
            <w:r w:rsidR="0009573B">
              <w:rPr>
                <w:noProof/>
                <w:webHidden/>
              </w:rPr>
              <w:fldChar w:fldCharType="end"/>
            </w:r>
          </w:hyperlink>
        </w:p>
        <w:p w:rsidR="0009573B" w:rsidRDefault="00021970" w:rsidP="0009573B">
          <w:pPr>
            <w:pStyle w:val="11"/>
            <w:tabs>
              <w:tab w:val="right" w:leader="dot" w:pos="9345"/>
            </w:tabs>
            <w:ind w:firstLine="0"/>
            <w:rPr>
              <w:noProof/>
            </w:rPr>
          </w:pPr>
          <w:hyperlink w:anchor="_Toc498084899" w:history="1">
            <w:r w:rsidR="0009573B" w:rsidRPr="00700BB9">
              <w:rPr>
                <w:rStyle w:val="ad"/>
                <w:noProof/>
              </w:rPr>
              <w:t>Список использованных источников</w:t>
            </w:r>
            <w:r w:rsidR="0009573B">
              <w:rPr>
                <w:noProof/>
                <w:webHidden/>
              </w:rPr>
              <w:tab/>
            </w:r>
            <w:r w:rsidR="0009573B">
              <w:rPr>
                <w:noProof/>
                <w:webHidden/>
              </w:rPr>
              <w:fldChar w:fldCharType="begin"/>
            </w:r>
            <w:r w:rsidR="0009573B">
              <w:rPr>
                <w:noProof/>
                <w:webHidden/>
              </w:rPr>
              <w:instrText xml:space="preserve"> PAGEREF _Toc498084899 \h </w:instrText>
            </w:r>
            <w:r w:rsidR="0009573B">
              <w:rPr>
                <w:noProof/>
                <w:webHidden/>
              </w:rPr>
            </w:r>
            <w:r w:rsidR="0009573B">
              <w:rPr>
                <w:noProof/>
                <w:webHidden/>
              </w:rPr>
              <w:fldChar w:fldCharType="separate"/>
            </w:r>
            <w:r w:rsidR="0009573B">
              <w:rPr>
                <w:noProof/>
                <w:webHidden/>
              </w:rPr>
              <w:t>32</w:t>
            </w:r>
            <w:r w:rsidR="0009573B">
              <w:rPr>
                <w:noProof/>
                <w:webHidden/>
              </w:rPr>
              <w:fldChar w:fldCharType="end"/>
            </w:r>
          </w:hyperlink>
        </w:p>
        <w:p w:rsidR="0009573B" w:rsidRDefault="0009573B">
          <w:r>
            <w:rPr>
              <w:b/>
              <w:bCs/>
            </w:rPr>
            <w:fldChar w:fldCharType="end"/>
          </w:r>
        </w:p>
      </w:sdtContent>
    </w:sdt>
    <w:p w:rsidR="0009573B" w:rsidRPr="00127CAE" w:rsidRDefault="0009573B" w:rsidP="00127CAE">
      <w:pPr>
        <w:rPr>
          <w:b/>
          <w:lang w:eastAsia="ru-RU"/>
        </w:rPr>
      </w:pPr>
    </w:p>
    <w:p w:rsidR="00127CAE" w:rsidRDefault="00127CAE">
      <w:pPr>
        <w:spacing w:after="200" w:line="276" w:lineRule="auto"/>
        <w:ind w:firstLine="0"/>
        <w:jc w:val="left"/>
        <w:rPr>
          <w:rFonts w:eastAsia="Times New Roman" w:cstheme="majorBidi"/>
          <w:b/>
          <w:bCs/>
          <w:szCs w:val="28"/>
          <w:lang w:eastAsia="ru-RU"/>
        </w:rPr>
      </w:pPr>
      <w:r>
        <w:rPr>
          <w:rFonts w:eastAsia="Times New Roman"/>
          <w:lang w:eastAsia="ru-RU"/>
        </w:rPr>
        <w:br w:type="page"/>
      </w:r>
    </w:p>
    <w:p w:rsidR="00D336F2" w:rsidRDefault="00D336F2" w:rsidP="00127CAE">
      <w:pPr>
        <w:pStyle w:val="1"/>
        <w:rPr>
          <w:rFonts w:eastAsia="Times New Roman"/>
          <w:lang w:eastAsia="ru-RU"/>
        </w:rPr>
      </w:pPr>
      <w:bookmarkStart w:id="0" w:name="_Toc498084897"/>
      <w:r w:rsidRPr="00D336F2">
        <w:rPr>
          <w:rFonts w:eastAsia="Times New Roman"/>
          <w:lang w:eastAsia="ru-RU"/>
        </w:rPr>
        <w:lastRenderedPageBreak/>
        <w:t>1.</w:t>
      </w:r>
      <w:r w:rsidR="00127CAE">
        <w:rPr>
          <w:rFonts w:eastAsia="Times New Roman"/>
          <w:lang w:eastAsia="ru-RU"/>
        </w:rPr>
        <w:t xml:space="preserve"> </w:t>
      </w:r>
      <w:r w:rsidRPr="00D336F2">
        <w:rPr>
          <w:rFonts w:eastAsia="Times New Roman"/>
          <w:lang w:eastAsia="ru-RU"/>
        </w:rPr>
        <w:t>Основные виды технологических решений. Понятие технологических решений. Виды и параметры технологических решений. Критерии технологических решений</w:t>
      </w:r>
      <w:bookmarkEnd w:id="0"/>
    </w:p>
    <w:p w:rsidR="00127CAE" w:rsidRDefault="00127CAE" w:rsidP="00127CAE">
      <w:pPr>
        <w:rPr>
          <w:lang w:eastAsia="ru-RU"/>
        </w:rPr>
      </w:pPr>
    </w:p>
    <w:p w:rsidR="00E60A10" w:rsidRDefault="00127CAE" w:rsidP="00127CAE">
      <w:r w:rsidRPr="00127CAE">
        <w:t xml:space="preserve">Технологическое решение </w:t>
      </w:r>
      <w:r>
        <w:t>–</w:t>
      </w:r>
      <w:r w:rsidRPr="00127CAE">
        <w:t xml:space="preserve"> любое решение, принятое при технологической подготовке производства или изготовлении продукции, относящееся непосредственно к определению или изменению состояния объекта производства и направленное </w:t>
      </w:r>
      <w:r>
        <w:t>н</w:t>
      </w:r>
      <w:r w:rsidRPr="00127CAE">
        <w:t xml:space="preserve">а обеспечение выпуска продукции. Примерами технологических решений являются: </w:t>
      </w:r>
    </w:p>
    <w:p w:rsidR="00E60A10" w:rsidRDefault="00127CAE" w:rsidP="00E60A10">
      <w:pPr>
        <w:pStyle w:val="a9"/>
        <w:numPr>
          <w:ilvl w:val="0"/>
          <w:numId w:val="1"/>
        </w:numPr>
        <w:ind w:left="0" w:firstLine="709"/>
      </w:pPr>
      <w:r w:rsidRPr="00127CAE">
        <w:t xml:space="preserve">решение о найденной причине брака; </w:t>
      </w:r>
    </w:p>
    <w:p w:rsidR="00E60A10" w:rsidRDefault="00127CAE" w:rsidP="00E60A10">
      <w:pPr>
        <w:pStyle w:val="a9"/>
        <w:numPr>
          <w:ilvl w:val="0"/>
          <w:numId w:val="1"/>
        </w:numPr>
        <w:ind w:left="0" w:firstLine="709"/>
      </w:pPr>
      <w:r w:rsidRPr="00127CAE">
        <w:t xml:space="preserve">математическая модель технологической операции; </w:t>
      </w:r>
    </w:p>
    <w:p w:rsidR="00E60A10" w:rsidRDefault="00127CAE" w:rsidP="00E60A10">
      <w:pPr>
        <w:pStyle w:val="a9"/>
        <w:numPr>
          <w:ilvl w:val="0"/>
          <w:numId w:val="1"/>
        </w:numPr>
        <w:ind w:left="0" w:firstLine="709"/>
      </w:pPr>
      <w:r w:rsidRPr="00127CAE">
        <w:t xml:space="preserve">решение о замене оборудования или инструмента в действующем технологическом процессе; </w:t>
      </w:r>
    </w:p>
    <w:p w:rsidR="00E60A10" w:rsidRDefault="00127CAE" w:rsidP="00E60A10">
      <w:pPr>
        <w:pStyle w:val="a9"/>
        <w:numPr>
          <w:ilvl w:val="0"/>
          <w:numId w:val="1"/>
        </w:numPr>
        <w:ind w:left="0" w:firstLine="709"/>
      </w:pPr>
      <w:r w:rsidRPr="00127CAE">
        <w:t xml:space="preserve">конструкция нового станочного приспособления и т.д. </w:t>
      </w:r>
    </w:p>
    <w:p w:rsidR="00127CAE" w:rsidRPr="00127CAE" w:rsidRDefault="00127CAE" w:rsidP="00127CAE">
      <w:r w:rsidRPr="00127CAE">
        <w:t>Технологическое решение не реализуется непосредственно в сфере производства, а лишь служит основой для разработки ко</w:t>
      </w:r>
      <w:r w:rsidR="00D037D5">
        <w:t>н</w:t>
      </w:r>
      <w:r w:rsidRPr="00127CAE">
        <w:t>структорско-технологических мероприятий и соответствующей документации, направляемых для исполнения и внедрения в производство.</w:t>
      </w:r>
    </w:p>
    <w:p w:rsidR="00127CAE" w:rsidRPr="00127CAE" w:rsidRDefault="00127CAE" w:rsidP="00127CAE">
      <w:r w:rsidRPr="00127CAE">
        <w:t xml:space="preserve">Принятие технологического решения в общем случае заключается в генерировании множества вариантов решения (например, множества вариантов технологического процесса) и выборе из этого множества вначале некоторого подмножества, а затем и оптимального варианта решения. Процесс принятия технологических решений, как правило, завершается выбором единственного варианта. Лицом, принимающим решение, является, в зависимости от решаемой задачи или выполняемой функции при технологической подготовке производства, ответственный разработчик-исполнитель или руководитель подразделения. Процессу принятия технологических решений предшествует возникновение ситуации принятия решения, которую характеризуют: определение или описание состояния </w:t>
      </w:r>
      <w:r w:rsidRPr="00127CAE">
        <w:lastRenderedPageBreak/>
        <w:t xml:space="preserve">некоторого объекта (операции, инструмента, процесса, станка и т.д.) или его элемента, для которого принимается решение; определение цели принятия решения. Например, при разработке конструкции станочного приспособления для какой-либо операции, состояние описывается конструктивно-технологическими параметрами заготовки до и после выполнения операции, желаемой схемой установки, содержанием операции. Цель принятия решения в данном случае </w:t>
      </w:r>
      <w:r w:rsidR="00D037D5">
        <w:t>–</w:t>
      </w:r>
      <w:r w:rsidRPr="00127CAE">
        <w:t xml:space="preserve"> разработка конструкции приспособления, удовлетворяющей предъявляемым техническим требованиям, характеристикам и критериям, например, быстродействия, обеспечения стабильности закрепления, минимальных затрат и т.п. В машиностроении ситуация принятия решения может быть представлена в документе </w:t>
      </w:r>
      <w:r w:rsidR="00D037D5">
        <w:t>–</w:t>
      </w:r>
      <w:r w:rsidRPr="00127CAE">
        <w:t xml:space="preserve"> техническом задании.</w:t>
      </w:r>
    </w:p>
    <w:p w:rsidR="00127CAE" w:rsidRPr="00127CAE" w:rsidRDefault="00127CAE" w:rsidP="00127CAE">
      <w:r w:rsidRPr="00127CAE">
        <w:t xml:space="preserve">Решение может быть получено в результате выполнения некоторой задачи. Например, припуски можно рассчитать по известным зависимостям. Однако между обычной задачей и задачей принятия решения существует принципиальное различие. В обычной задаче решение получается с помощью единого алгоритма, формализованного </w:t>
      </w:r>
      <w:r w:rsidR="000319FB">
        <w:t>н</w:t>
      </w:r>
      <w:r w:rsidRPr="00127CAE">
        <w:t>а некотором уровне абстракции. В задачах принятия решения выделить такой алгоритм часто затруднительно. Кроме того, постановка задачи</w:t>
      </w:r>
      <w:r w:rsidR="000319FB">
        <w:t xml:space="preserve"> </w:t>
      </w:r>
      <w:r w:rsidRPr="00127CAE">
        <w:t>принятия решения приводит к необходимости рассмотрения ситуации принятия решения, описание которой часто ие формализуется и может содержать значительное число переменных различных типов, выражаемых числами, символьными конструкциями (например, словами), графическими изображениями и т.д. Принятие решения часто происходит в условиях недостаточной определенности, что требует применения правил логического вывода. Наконец, о</w:t>
      </w:r>
      <w:r w:rsidR="000319FB">
        <w:t>н</w:t>
      </w:r>
      <w:r w:rsidRPr="00127CAE">
        <w:t>о связано с одновременным рассмотрением значительного числа альтернатив и организацией их отбора.</w:t>
      </w:r>
    </w:p>
    <w:p w:rsidR="00127CAE" w:rsidRPr="00127CAE" w:rsidRDefault="00127CAE" w:rsidP="00127CAE">
      <w:r w:rsidRPr="00127CAE">
        <w:t>Принятие технологических решений, подчиняясь общим законам, имеет и ряд особенностей:</w:t>
      </w:r>
    </w:p>
    <w:p w:rsidR="00127CAE" w:rsidRPr="00127CAE" w:rsidRDefault="00127CAE" w:rsidP="00D436B2">
      <w:pPr>
        <w:pStyle w:val="a9"/>
        <w:numPr>
          <w:ilvl w:val="0"/>
          <w:numId w:val="1"/>
        </w:numPr>
        <w:ind w:left="0" w:firstLine="709"/>
      </w:pPr>
      <w:r w:rsidRPr="00127CAE">
        <w:lastRenderedPageBreak/>
        <w:t>преобладание в предметной области технологии производства летательных аппаратов описательных форм представления знаний при минимальном числе строгих аналитических зависимостей;</w:t>
      </w:r>
    </w:p>
    <w:p w:rsidR="00127CAE" w:rsidRPr="00127CAE" w:rsidRDefault="00127CAE" w:rsidP="00D436B2">
      <w:pPr>
        <w:pStyle w:val="a9"/>
        <w:numPr>
          <w:ilvl w:val="0"/>
          <w:numId w:val="1"/>
        </w:numPr>
        <w:ind w:left="0" w:firstLine="709"/>
      </w:pPr>
      <w:r w:rsidRPr="00127CAE">
        <w:t>сложная логика суждений, сложные взаимосвязи, взаимное влияние различных факторов и большая размерность задач;</w:t>
      </w:r>
    </w:p>
    <w:p w:rsidR="00127CAE" w:rsidRPr="00127CAE" w:rsidRDefault="00127CAE" w:rsidP="00D436B2">
      <w:pPr>
        <w:pStyle w:val="a9"/>
        <w:numPr>
          <w:ilvl w:val="0"/>
          <w:numId w:val="1"/>
        </w:numPr>
        <w:ind w:left="0" w:firstLine="709"/>
      </w:pPr>
      <w:r w:rsidRPr="00127CAE">
        <w:t>большая роль эмпирики и наличие скрытых объективных законов;</w:t>
      </w:r>
    </w:p>
    <w:p w:rsidR="00127CAE" w:rsidRPr="00127CAE" w:rsidRDefault="00127CAE" w:rsidP="00D436B2">
      <w:pPr>
        <w:pStyle w:val="a9"/>
        <w:numPr>
          <w:ilvl w:val="0"/>
          <w:numId w:val="1"/>
        </w:numPr>
        <w:ind w:left="0" w:firstLine="709"/>
      </w:pPr>
      <w:r w:rsidRPr="00127CAE">
        <w:t>необходимость взаимодействия при принятии решения мощных информационных потоков и большого числа составных элементов, раскрывающих сущность технологии (характеристики оборудования, инструмента, оснастки; параметры режимов резаиия; массивы данных о материалах и т.д.);</w:t>
      </w:r>
    </w:p>
    <w:p w:rsidR="00127CAE" w:rsidRPr="00127CAE" w:rsidRDefault="00127CAE" w:rsidP="00D436B2">
      <w:pPr>
        <w:pStyle w:val="a9"/>
        <w:numPr>
          <w:ilvl w:val="0"/>
          <w:numId w:val="1"/>
        </w:numPr>
        <w:ind w:left="0" w:firstLine="709"/>
      </w:pPr>
      <w:r w:rsidRPr="00127CAE">
        <w:t>итеративный характер процесса принятия технологических решений (решение формируется путем последовательного приближения к наиболее приемлемому для данных условий варианту).</w:t>
      </w:r>
    </w:p>
    <w:p w:rsidR="00127CAE" w:rsidRPr="00127CAE" w:rsidRDefault="00127CAE" w:rsidP="00127CAE">
      <w:r w:rsidRPr="00127CAE">
        <w:t>Различают следующие основные виды технологических решений: аналитические, проектные, прогностические, управляющие.</w:t>
      </w:r>
    </w:p>
    <w:p w:rsidR="00127CAE" w:rsidRPr="00127CAE" w:rsidRDefault="00127CAE" w:rsidP="00127CAE">
      <w:r w:rsidRPr="00127CAE">
        <w:t>Аналитические решения сопровождают принятие технологических решений всех остальных видов, являясь при этом их самостоятельным видом. Анализ вообще заключается в определении свойств и исследовании работоспособности объекта по его описанию.</w:t>
      </w:r>
    </w:p>
    <w:p w:rsidR="00127CAE" w:rsidRPr="00127CAE" w:rsidRDefault="00127CAE" w:rsidP="00127CAE">
      <w:r w:rsidRPr="00127CAE">
        <w:t xml:space="preserve">При принятии аналитического технологического решения объектом анализа являются различные технологические объекты: технологическая система, технологический процесс или его элементы и т.д. В основе принятия большинства аналитических технологических решений лежит математическое моделирование технологических объектов. Математическая модель технологического объекта </w:t>
      </w:r>
      <w:r w:rsidR="00BC3FE0">
        <w:t>–</w:t>
      </w:r>
      <w:r w:rsidRPr="00127CAE">
        <w:t xml:space="preserve"> система математических объектов (чисел, переменных матриц, множеств и т.п.) и отношений между ними, отражающая некоторые свойства технологического объекта. При принятии </w:t>
      </w:r>
      <w:r w:rsidRPr="00127CAE">
        <w:lastRenderedPageBreak/>
        <w:t>технологических решений используют модели, отражающие свойства объекта, существенные с позиции технолога.</w:t>
      </w:r>
    </w:p>
    <w:p w:rsidR="00127CAE" w:rsidRPr="00127CAE" w:rsidRDefault="00127CAE" w:rsidP="00127CAE">
      <w:r w:rsidRPr="00127CAE">
        <w:t>В производственной практике наиболее часто встречаются следующие постановки задач анализа:</w:t>
      </w:r>
    </w:p>
    <w:p w:rsidR="00127CAE" w:rsidRPr="00127CAE" w:rsidRDefault="00127CAE" w:rsidP="00BC3FE0">
      <w:pPr>
        <w:pStyle w:val="a9"/>
        <w:numPr>
          <w:ilvl w:val="0"/>
          <w:numId w:val="2"/>
        </w:numPr>
        <w:ind w:left="0" w:firstLine="709"/>
      </w:pPr>
      <w:r w:rsidRPr="00127CAE">
        <w:t>Оценить для технологического объекта соответствие уровня входных н выходных переменных, например, качества исходной заготовки и обработанной детали, их заранее заданному уровню.</w:t>
      </w:r>
    </w:p>
    <w:p w:rsidR="00127CAE" w:rsidRPr="00127CAE" w:rsidRDefault="00127CAE" w:rsidP="00BC3FE0">
      <w:pPr>
        <w:pStyle w:val="a9"/>
        <w:numPr>
          <w:ilvl w:val="0"/>
          <w:numId w:val="2"/>
        </w:numPr>
        <w:ind w:left="0" w:firstLine="709"/>
      </w:pPr>
      <w:r w:rsidRPr="00127CAE">
        <w:t>Оценить процессы, происходящие при функционировании технологического объекта, н дать их описание в виде модели. Например, на фрезерном станке с ЧПУ выполняется фрезерование криволинейной поверхности. Необходимо построить математическую модель формирования погрешности размера обрабатываемого криволинейного контура с учетом геометрии обрабатываемой заготовки и доминирующих технологических факторов.</w:t>
      </w:r>
    </w:p>
    <w:p w:rsidR="00127CAE" w:rsidRPr="00127CAE" w:rsidRDefault="00127CAE" w:rsidP="00BC3FE0">
      <w:pPr>
        <w:pStyle w:val="a9"/>
        <w:numPr>
          <w:ilvl w:val="0"/>
          <w:numId w:val="2"/>
        </w:numPr>
        <w:ind w:left="0" w:firstLine="709"/>
      </w:pPr>
      <w:r w:rsidRPr="00127CAE">
        <w:t>Дать оценку работоспособности технологического объекта и соответствия результатов его работы принятой системе критериев. Например, для спроектированного технологического процесса дать оценку возможности получения продукции, соответствующей техническим требованиям, при его реализации в конкретных производственных условиях, а также оценить соответствие выходных показателен процесса установленным технико-экономическим показателям по критериям себестоимости продукции и производительности.</w:t>
      </w:r>
    </w:p>
    <w:p w:rsidR="00127CAE" w:rsidRPr="00127CAE" w:rsidRDefault="00127CAE" w:rsidP="00BC3FE0">
      <w:pPr>
        <w:pStyle w:val="a9"/>
        <w:numPr>
          <w:ilvl w:val="0"/>
          <w:numId w:val="2"/>
        </w:numPr>
        <w:ind w:left="0" w:firstLine="709"/>
      </w:pPr>
      <w:r w:rsidRPr="00127CAE">
        <w:t>Определить причины нарушения функционирования технологического объекта по его описанию. Например, для производственной системы известной структуры определить место (технологическую систему), в котором ожидается максимальный риск появления брака продукции. Определить конкретную причину возможного брака.</w:t>
      </w:r>
    </w:p>
    <w:p w:rsidR="00127CAE" w:rsidRPr="00127CAE" w:rsidRDefault="00127CAE" w:rsidP="00127CAE">
      <w:r w:rsidRPr="00127CAE">
        <w:t xml:space="preserve">Анализ, выполняемый при принятии технологических решений, можно разделить на количественный, проводимый с использованием </w:t>
      </w:r>
      <w:r w:rsidRPr="00127CAE">
        <w:lastRenderedPageBreak/>
        <w:t>количественных зависимостей между описываемыми параметрами, математического аппарата, моделей и т.д., и качественный, осуществляемый на основе технологических знаний.</w:t>
      </w:r>
    </w:p>
    <w:p w:rsidR="00127CAE" w:rsidRPr="00127CAE" w:rsidRDefault="00127CAE" w:rsidP="00127CAE">
      <w:r w:rsidRPr="00127CAE">
        <w:t>Сложность процессов, происходящих при функционировании технологических систем, недостаточная определенность ситуаций, отсутствие корректных и адекватных моделей процессов приводят к тому, что, эти процессы затруднительно описать количественно. В этом случае делается качественный анализ.</w:t>
      </w:r>
    </w:p>
    <w:p w:rsidR="00127CAE" w:rsidRPr="00127CAE" w:rsidRDefault="00127CAE" w:rsidP="00127CAE">
      <w:r w:rsidRPr="00127CAE">
        <w:t>Качественный анализ основан на использовании основных компон</w:t>
      </w:r>
      <w:r w:rsidR="00BC3FE0">
        <w:t>ентов</w:t>
      </w:r>
      <w:r w:rsidRPr="00127CAE">
        <w:t xml:space="preserve"> технологических знаний: фактов (данных); гипотез (моделей); эвристик (правил).</w:t>
      </w:r>
    </w:p>
    <w:p w:rsidR="00127CAE" w:rsidRPr="00127CAE" w:rsidRDefault="00127CAE" w:rsidP="00127CAE">
      <w:r w:rsidRPr="00127CAE">
        <w:t>Факт представляет собой некоторое высказывание или данные, достоверность которых не вызывает сомнений. Например: в процессе обработки резанием возникают силы резання. Конкретное данное, например.число, занесенное в таблицу, также является фактом. Факты могут использоваться вместе, ассоциативно, например,</w:t>
      </w:r>
      <w:r w:rsidR="00BC3FE0">
        <w:t xml:space="preserve"> </w:t>
      </w:r>
      <w:r w:rsidRPr="00127CAE">
        <w:t>строка данных в таблице.</w:t>
      </w:r>
    </w:p>
    <w:p w:rsidR="00127CAE" w:rsidRPr="00127CAE" w:rsidRDefault="00127CAE" w:rsidP="00127CAE">
      <w:r w:rsidRPr="00127CAE">
        <w:t>Гипотеза (модель) - недостаточно проверенное высказывание, истинность которого пока не установлена. Гипотезы выдвигаются при отсутствии достоверного объяснения того или иного процесса или явления. Далее гипотезы либо доказываются н становятся фактами, либо отвергаются. Любую математическую модель следует рассматривать как гипотезу, требующую подтверждения.</w:t>
      </w:r>
    </w:p>
    <w:p w:rsidR="00127CAE" w:rsidRPr="00127CAE" w:rsidRDefault="00127CAE" w:rsidP="00127CAE">
      <w:r w:rsidRPr="00127CAE">
        <w:t xml:space="preserve">Эвристика представляет собой частный (неполный) метод решения какой-либо задачи. Обычно это эмпирическое правило или стратегия. </w:t>
      </w:r>
    </w:p>
    <w:p w:rsidR="00127CAE" w:rsidRDefault="00127CAE" w:rsidP="00127CAE">
      <w:r w:rsidRPr="00127CAE">
        <w:t>Формирование технологического решения при качественном анализе представляет собой процедуру логического вывода при заданных начальных условиях. Аналитические технологические решения обычно представляются в виде данных (массивов данных), моделей, символьных конструкций (оценок, описаний, характеристик).</w:t>
      </w:r>
    </w:p>
    <w:p w:rsidR="0011447A" w:rsidRPr="00127CAE" w:rsidRDefault="0011447A" w:rsidP="0011447A">
      <w:r w:rsidRPr="00127CAE">
        <w:lastRenderedPageBreak/>
        <w:t>Проектные технологические решения базируются на взаимодействии процедур синтеза и анализа. На рис. 1 показан общий алгоритм формирования проектного</w:t>
      </w:r>
      <w:r>
        <w:t>.</w:t>
      </w:r>
    </w:p>
    <w:p w:rsidR="00127CAE" w:rsidRDefault="00127CAE" w:rsidP="0011447A">
      <w:pPr>
        <w:jc w:val="center"/>
      </w:pPr>
      <w:r w:rsidRPr="00127CAE">
        <w:rPr>
          <w:noProof/>
          <w:lang w:eastAsia="ru-RU"/>
        </w:rPr>
        <w:drawing>
          <wp:inline distT="0" distB="0" distL="0" distR="0" wp14:anchorId="4C1C3F12" wp14:editId="72AC6BDB">
            <wp:extent cx="2194560" cy="4183380"/>
            <wp:effectExtent l="0" t="0" r="0" b="7620"/>
            <wp:docPr id="4" name="Рисунок 4" descr="http://knigorazvitie.ru/pictures/books/5_dubrovsky.files/image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knigorazvitie.ru/pictures/books/5_dubrovsky.files/image01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451"/>
                    <a:stretch/>
                  </pic:blipFill>
                  <pic:spPr bwMode="auto">
                    <a:xfrm>
                      <a:off x="0" y="0"/>
                      <a:ext cx="2194560" cy="4183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1447A" w:rsidRPr="00127CAE" w:rsidRDefault="0011447A" w:rsidP="0011447A">
      <w:pPr>
        <w:pStyle w:val="aa"/>
      </w:pPr>
      <w:r w:rsidRPr="00127CAE">
        <w:t>I - техническое задание; 2 - синтез структуры; 3 - создание модели; 4 - выбор исходных значений параметров; 5 - анализ; б - решение удовлетворяет; 7 - передача решений для разработки мероприятий; 8 - изменение параметров; 9 - модификация параметров; 10 - решение об изменении структуры; 11 - изменение структуры; 12 - корректировка технического задания</w:t>
      </w:r>
    </w:p>
    <w:p w:rsidR="0011447A" w:rsidRPr="00127CAE" w:rsidRDefault="0011447A" w:rsidP="0011447A">
      <w:pPr>
        <w:jc w:val="center"/>
      </w:pPr>
      <w:r>
        <w:t>Рисунок 1 – Алгоритм технологического решения</w:t>
      </w:r>
    </w:p>
    <w:p w:rsidR="0011447A" w:rsidRDefault="0011447A" w:rsidP="00127CAE"/>
    <w:p w:rsidR="00127CAE" w:rsidRPr="00127CAE" w:rsidRDefault="00127CAE" w:rsidP="00127CAE">
      <w:r w:rsidRPr="00127CAE">
        <w:t>Ситуация принятия решения описана в техническом задании. Принятие технологических решений начинается с синтеза исходного варианта структуры объекта (блок 2). Под структурой объекта можно понимать, например, последовательность технологических переходов в операции или принципиальную компоновочную схему станочного приспособления. Для оценки этого варианта создают математическую или физическую модель.</w:t>
      </w:r>
    </w:p>
    <w:p w:rsidR="00127CAE" w:rsidRPr="00127CAE" w:rsidRDefault="00127CAE" w:rsidP="00127CAE">
      <w:r w:rsidRPr="00127CAE">
        <w:t> </w:t>
      </w:r>
    </w:p>
    <w:p w:rsidR="00127CAE" w:rsidRPr="00127CAE" w:rsidRDefault="00127CAE" w:rsidP="00127CAE">
      <w:r w:rsidRPr="00127CAE">
        <w:lastRenderedPageBreak/>
        <w:t>После выбора исходных значений параметров элементов, например, параметров технологических операций при проектировании технологического процесса, выполняют анализ варианта, по результатам которого становится возможной его оценка. Обычно оценка заключается в проверке выполнения условий работоспособности, сформированных в техническом задании. Если условия работоспособности выполняются в должной мере, то проектное технологическое решение передается (блок 7) для разработки необходимых конструкторско-технологических мероприятии и последующего внедрения. В противном случае улучшения проектного технологического решения прежде всего пытаются добиться путем изменения числовых значений параметров элементов объекта, не изменяя его структуры. Совокупность процедур модификации, анализа н оценки результатов представляет собой процедуру параметрического синтеза. Если изменения параметров не далн желаемого результата, изменяют структуру объекта - синтезируют новый вариант структуры, например,новую схему станочного приспособления. Если не удается получить приемлемое проектное технологическое решение н на этом пути, то ставят вопрос о корректировке технического задания. Учитывая, что техническое задание может быть разработано на основе проектного технологического решения для более раннего этапа принятия технологических решений, возможно также н его корректировка. Это наглядно иллюстрирует принципы итеративности и неокончательности проектных технологических решений.</w:t>
      </w:r>
    </w:p>
    <w:p w:rsidR="00127CAE" w:rsidRPr="00127CAE" w:rsidRDefault="00127CAE" w:rsidP="00127CAE">
      <w:r w:rsidRPr="00127CAE">
        <w:t>Проектные технологические решения можно разделить на две группы:</w:t>
      </w:r>
    </w:p>
    <w:p w:rsidR="00127CAE" w:rsidRPr="00127CAE" w:rsidRDefault="00127CAE" w:rsidP="00127CAE">
      <w:r w:rsidRPr="00127CAE">
        <w:t>Решения, реализация которых связана с непосредственным изменением объекта производства (элементов изделия н изделия в целом). Это, например, определение структур и параметров технологического процесса, операций и переходов, определение режимов обработки, схем установки заготовок, методов изготовления исходных заготовок и т.д.</w:t>
      </w:r>
    </w:p>
    <w:p w:rsidR="00127CAE" w:rsidRPr="00127CAE" w:rsidRDefault="00127CAE" w:rsidP="00127CAE">
      <w:r w:rsidRPr="00127CAE">
        <w:lastRenderedPageBreak/>
        <w:t>Решения, направленные на создание технических устройств, обеспечивающих реализацию проектных технологических решений первой группы, например, конструкторские проектные технологические решения.</w:t>
      </w:r>
    </w:p>
    <w:p w:rsidR="00127CAE" w:rsidRPr="00127CAE" w:rsidRDefault="00127CAE" w:rsidP="00127CAE">
      <w:r w:rsidRPr="00127CAE">
        <w:t>Частные подходы к принятию решений указанных групп существенно различаются.</w:t>
      </w:r>
    </w:p>
    <w:p w:rsidR="00127CAE" w:rsidRPr="00127CAE" w:rsidRDefault="00127CAE" w:rsidP="00127CAE">
      <w:r w:rsidRPr="00127CAE">
        <w:t>Проектное технологическое решение может быть сформировано и при замене процедур синтеза процедурами выбора</w:t>
      </w:r>
      <w:r w:rsidR="0011447A">
        <w:t>.</w:t>
      </w:r>
      <w:r w:rsidRPr="00127CAE">
        <w:t xml:space="preserve"> В последнем случае синтез структуры </w:t>
      </w:r>
      <w:r w:rsidR="0011447A">
        <w:t>и</w:t>
      </w:r>
      <w:r w:rsidRPr="00127CAE">
        <w:t xml:space="preserve"> создание модели объекта, являющегося предметом решения, не выполняются. Исходные значения параметров объектов выбираются в множестве возможных решений исходя </w:t>
      </w:r>
      <w:r w:rsidR="0011447A">
        <w:t>и</w:t>
      </w:r>
      <w:r w:rsidRPr="00127CAE">
        <w:t>з максимального удовлетворения цели принятия решения. Работоспособность н степень соответствия выбранного решения цели проверяется в результате анализа. Модификация параметров и структуры возможна лишь в рамках, определяемых множеством возможных решений.</w:t>
      </w:r>
    </w:p>
    <w:p w:rsidR="00127CAE" w:rsidRPr="00127CAE" w:rsidRDefault="00127CAE" w:rsidP="00127CAE">
      <w:r w:rsidRPr="00127CAE">
        <w:t>Проектные технологические решения могут быть в виде массивов данных, символьных структур (текстов документов), графических изображений.</w:t>
      </w:r>
    </w:p>
    <w:p w:rsidR="00127CAE" w:rsidRPr="00127CAE" w:rsidRDefault="00127CAE" w:rsidP="00127CAE">
      <w:r w:rsidRPr="00127CAE">
        <w:t>Пр</w:t>
      </w:r>
      <w:r w:rsidR="0011447A">
        <w:t>и</w:t>
      </w:r>
      <w:r w:rsidRPr="00127CAE">
        <w:t xml:space="preserve"> любом его представлении следует учитывать принципы однозначности, непротиворечивости и полноты. Однозначность предполагает, что проектное решение не должно требовать интерпретации, каких-либо дополнительных пояснений и т.д. Принцип непротиворечивости проектного решения отражает условия согласованности отдельных фрагментов решения. Так, если принимаемое решение связано с формированием технологического решения изготовления детали, то должна соблюдаться согласованность и взаимообусловленность входящих в процесс технологических операций: операции подготовки баз должны начинать технологический процесс, операции черновой обработки </w:t>
      </w:r>
      <w:r w:rsidR="0011447A">
        <w:t>–</w:t>
      </w:r>
      <w:r w:rsidRPr="00127CAE">
        <w:t xml:space="preserve"> предшествовать операциям чистовой обработки и т.д. Выполнение принципа полноты означает, что проектное решение должно содержать всю необходимую и </w:t>
      </w:r>
      <w:r w:rsidRPr="00127CAE">
        <w:lastRenderedPageBreak/>
        <w:t>достаточную для разработки конструктивно-технологических мероприятий информацию.</w:t>
      </w:r>
    </w:p>
    <w:p w:rsidR="00127CAE" w:rsidRPr="00127CAE" w:rsidRDefault="00127CAE" w:rsidP="00127CAE">
      <w:r w:rsidRPr="00127CAE">
        <w:t xml:space="preserve">Если модификации параметров формируемого проектного технологического решения целенаправленны и подчинены стратегии поиска наилучшего значения некоторого показателя его качества, то процедура параметрического синтеза является процедурой оптимизации, а проектное решение </w:t>
      </w:r>
      <w:r w:rsidR="0011447A">
        <w:t>–</w:t>
      </w:r>
      <w:r w:rsidRPr="00127CAE">
        <w:t xml:space="preserve"> оптимальным.</w:t>
      </w:r>
    </w:p>
    <w:p w:rsidR="00127CAE" w:rsidRPr="00127CAE" w:rsidRDefault="00127CAE" w:rsidP="00127CAE">
      <w:r w:rsidRPr="00127CAE">
        <w:t xml:space="preserve">Кроме процедур параметрического синтеза существует развитый методологический аппарат оптимизации технологических решений. Оптимизация применяется к решениям двух видов </w:t>
      </w:r>
      <w:r w:rsidR="0011447A">
        <w:t>–</w:t>
      </w:r>
      <w:r w:rsidRPr="00127CAE">
        <w:t xml:space="preserve"> проектным и управляющим.</w:t>
      </w:r>
    </w:p>
    <w:p w:rsidR="00127CAE" w:rsidRPr="00127CAE" w:rsidRDefault="00127CAE" w:rsidP="00127CAE">
      <w:pPr>
        <w:rPr>
          <w:lang w:eastAsia="ru-RU"/>
        </w:rPr>
      </w:pPr>
    </w:p>
    <w:p w:rsidR="00127CAE" w:rsidRDefault="00127CAE">
      <w:pPr>
        <w:spacing w:after="200" w:line="276" w:lineRule="auto"/>
        <w:ind w:firstLine="0"/>
        <w:jc w:val="left"/>
        <w:rPr>
          <w:rFonts w:eastAsia="Times New Roman" w:cstheme="majorBidi"/>
          <w:b/>
          <w:bCs/>
          <w:szCs w:val="28"/>
          <w:lang w:eastAsia="ru-RU"/>
        </w:rPr>
      </w:pPr>
      <w:r>
        <w:rPr>
          <w:rFonts w:eastAsia="Times New Roman"/>
          <w:lang w:eastAsia="ru-RU"/>
        </w:rPr>
        <w:br w:type="page"/>
      </w:r>
    </w:p>
    <w:p w:rsidR="00D336F2" w:rsidRPr="00D336F2" w:rsidRDefault="00D336F2" w:rsidP="00127CAE">
      <w:pPr>
        <w:pStyle w:val="1"/>
        <w:rPr>
          <w:rFonts w:eastAsia="Times New Roman"/>
          <w:lang w:eastAsia="ru-RU"/>
        </w:rPr>
      </w:pPr>
      <w:bookmarkStart w:id="1" w:name="_Toc498084898"/>
      <w:r w:rsidRPr="00D336F2">
        <w:rPr>
          <w:rFonts w:eastAsia="Times New Roman"/>
          <w:lang w:eastAsia="ru-RU"/>
        </w:rPr>
        <w:lastRenderedPageBreak/>
        <w:t>2. Инновации и экономический рост. Значение инноваций для отечественных  предприятий</w:t>
      </w:r>
      <w:bookmarkEnd w:id="1"/>
    </w:p>
    <w:p w:rsidR="007150B0" w:rsidRDefault="00021970"/>
    <w:p w:rsidR="0011447A" w:rsidRDefault="0011447A" w:rsidP="0011447A">
      <w:r>
        <w:t xml:space="preserve">Российские экономисты В. И. Кудашов и М. М. Шоломицкая в своей статье «генезис теории инновационного развития» дают подробный анализ формирования идей инновационного развития. Как они отмечают, инновационная теория стала развиваться в начале ХХ в. в ее формировании и развитии вырисовываются три значимых этапа: </w:t>
      </w:r>
    </w:p>
    <w:p w:rsidR="0011447A" w:rsidRDefault="0011447A" w:rsidP="0011447A">
      <w:pPr>
        <w:pStyle w:val="a9"/>
        <w:numPr>
          <w:ilvl w:val="0"/>
          <w:numId w:val="3"/>
        </w:numPr>
        <w:ind w:left="0" w:firstLine="709"/>
      </w:pPr>
      <w:r>
        <w:t xml:space="preserve">первая треть XX в. — формирование фундаментальных основ теории (период базисных инноваций в этой сфере научного познания); </w:t>
      </w:r>
    </w:p>
    <w:p w:rsidR="0011447A" w:rsidRDefault="0011447A" w:rsidP="0011447A">
      <w:pPr>
        <w:pStyle w:val="a9"/>
        <w:numPr>
          <w:ilvl w:val="0"/>
          <w:numId w:val="3"/>
        </w:numPr>
        <w:ind w:left="0" w:firstLine="709"/>
      </w:pPr>
      <w:r>
        <w:t xml:space="preserve">вторая треть XX в. — развитие и детализация базовых инновационных идей предыдущего периода; </w:t>
      </w:r>
    </w:p>
    <w:p w:rsidR="0011447A" w:rsidRDefault="0011447A" w:rsidP="0011447A">
      <w:pPr>
        <w:pStyle w:val="a9"/>
        <w:numPr>
          <w:ilvl w:val="0"/>
          <w:numId w:val="3"/>
        </w:numPr>
        <w:ind w:left="0" w:firstLine="0"/>
      </w:pPr>
      <w:r>
        <w:t xml:space="preserve">с середины 70-х годов XX в. — новый теоретический прорыв, связанный с волной эпохальных и базисных инноваций в период становления постиндустриального общества. Этот период охватит, вероятно, и первые десятилетия XXI в. (рис. </w:t>
      </w:r>
      <w:r w:rsidR="00570F3E">
        <w:t>2</w:t>
      </w:r>
      <w:r>
        <w:t xml:space="preserve">) </w:t>
      </w:r>
      <w:r w:rsidRPr="008151E2">
        <w:t xml:space="preserve">[25, </w:t>
      </w:r>
      <w:r>
        <w:rPr>
          <w:lang w:val="en-US"/>
        </w:rPr>
        <w:t>c</w:t>
      </w:r>
      <w:r w:rsidRPr="008151E2">
        <w:t>. 201]</w:t>
      </w:r>
      <w:r>
        <w:t xml:space="preserve">. </w:t>
      </w:r>
    </w:p>
    <w:p w:rsidR="0011447A" w:rsidRPr="00BD2865" w:rsidRDefault="0011447A" w:rsidP="0011447A">
      <w:r>
        <w:rPr>
          <w:noProof/>
          <w:lang w:eastAsia="ru-RU"/>
        </w:rPr>
        <w:drawing>
          <wp:inline distT="0" distB="0" distL="0" distR="0" wp14:anchorId="07587C60" wp14:editId="68A82BA4">
            <wp:extent cx="5486400" cy="3200400"/>
            <wp:effectExtent l="0" t="0" r="0" b="19050"/>
            <wp:docPr id="2" name="Схема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</wp:inline>
        </w:drawing>
      </w:r>
    </w:p>
    <w:p w:rsidR="0011447A" w:rsidRDefault="0011447A" w:rsidP="0011447A">
      <w:pPr>
        <w:ind w:hanging="142"/>
        <w:jc w:val="center"/>
      </w:pPr>
      <w:r>
        <w:t xml:space="preserve">Рисунок </w:t>
      </w:r>
      <w:r w:rsidR="00570F3E">
        <w:t>2</w:t>
      </w:r>
      <w:r>
        <w:t xml:space="preserve"> – Эволюция концепций инновационного развития</w:t>
      </w:r>
    </w:p>
    <w:p w:rsidR="0011447A" w:rsidRDefault="0011447A" w:rsidP="0011447A"/>
    <w:p w:rsidR="0011447A" w:rsidRDefault="0011447A" w:rsidP="0011447A">
      <w:r>
        <w:lastRenderedPageBreak/>
        <w:t>На первом этапе существенный вклад в развитие теории инновационного развития внесли М. И. Туган-Барановский, Н. Д. Кондратьев, Й. Шумпетер, Дж. Д. Бернал, Ф. Бродель, Г. Менш, С. Кузнец, П. Сорокин</w:t>
      </w:r>
      <w:r w:rsidRPr="008151E2">
        <w:t xml:space="preserve"> [20, </w:t>
      </w:r>
      <w:r>
        <w:rPr>
          <w:lang w:val="en-US"/>
        </w:rPr>
        <w:t>c</w:t>
      </w:r>
      <w:r w:rsidRPr="008151E2">
        <w:t>. 145]</w:t>
      </w:r>
      <w:r>
        <w:t xml:space="preserve">. </w:t>
      </w:r>
    </w:p>
    <w:p w:rsidR="0011447A" w:rsidRDefault="0011447A" w:rsidP="0011447A">
      <w:r>
        <w:t>Н. Д. Кондратьев заложил основы общей теории инноваций. Его мысли охватывали не только экономику, но также социально- политическую сферу. В работе «Большие циклы экономической конъюнктуры» он раскрыл механизм взаимодействия инноваций в различных сферах общества. В созданной им теории больших циклов конъюнктуры он показал закономерную смену «повышательной» и «понижательной» волны экономического развития, связанных с волнами технических изобретений</w:t>
      </w:r>
      <w:r w:rsidRPr="008151E2">
        <w:t xml:space="preserve"> [18, </w:t>
      </w:r>
      <w:r>
        <w:rPr>
          <w:lang w:val="en-US"/>
        </w:rPr>
        <w:t>c</w:t>
      </w:r>
      <w:r w:rsidRPr="008151E2">
        <w:t>. 192]</w:t>
      </w:r>
      <w:r>
        <w:t xml:space="preserve">. Данные волны коренным образом изменяют экономическую и технологическую основу общества, оказывают сильнейшее влияние на социальные и политические события. По его мнению, именно на «повышательной» стадии циклов происходят крупные социальные потрясения и перевороты в жизни общества. Новые циклы ведут к усилению новых стран в мировой хозяйственной жизни. Так, на первом этапе технологическое лидерство принадлежало Англии, на втором — Англии, Германии, США, на третьем — США и Германии, на четвертом — США и Японии. На современном этапе усиливается роль так называемых новых индустриальных стран, и прежде всего КНР, Республики Корея, Сингапура. </w:t>
      </w:r>
    </w:p>
    <w:p w:rsidR="0011447A" w:rsidRDefault="0011447A" w:rsidP="0011447A">
      <w:r>
        <w:t xml:space="preserve">Идеи Н. Д. Кондратьева были дополнены и развиты австрийским экономистом Й. Шумпетером. В своих работах он также указывал на динамично-цикличный характер экономического развития, в основе которого находились инновации. Особую роль Й. Шумпетер отводил предпринимателю. Во многом от его активности зависит развитие экономики. По его мнению, функция предпринимателя заключается в том, чтобы реформировать или революционизировать производство, используя изобретения для выпуска новых товаров или производства старых более новым способом, открывая новые источники сырья и материалов или новые </w:t>
      </w:r>
      <w:r>
        <w:lastRenderedPageBreak/>
        <w:t>рынки, реорганизуя отрасль</w:t>
      </w:r>
      <w:r w:rsidRPr="008151E2">
        <w:t xml:space="preserve"> [14, </w:t>
      </w:r>
      <w:r>
        <w:rPr>
          <w:lang w:val="en-US"/>
        </w:rPr>
        <w:t>c</w:t>
      </w:r>
      <w:r w:rsidRPr="008151E2">
        <w:t>. 324]</w:t>
      </w:r>
      <w:r>
        <w:t xml:space="preserve">. Строительство железных дорог, производство электроэнергии, двигателей внутреннего сгорания, станкостроение, концентрация производства в картелях и трестах и другие достижения характеризуют предпринимательское стремление извлечь выгоду из нововведений. Й. Шумпетер также впервые разделил понятия «изобретение» и «нововведение». Под последним он подразумевал открытие новых технологических знаний, новых продуктов, источников снабжения и новых форм организаций и их практическое применение в промышленности. Из работ Й. Шумпетера можно сделать вывод, что инновационная функция есть важнейшая функция предпринимателя, что благодаря ей в обществе, и прежде всего в экономике происходят динамические изменения. Для предпринимателя важно преодоление силы инерции, сопротивления среды. Й. Шумпетер создал первую классификацию инноваций, выделив среди них базисные и улучшающие, технологические и экономические, процессные и продуктные. </w:t>
      </w:r>
    </w:p>
    <w:p w:rsidR="0011447A" w:rsidRDefault="0011447A" w:rsidP="0011447A">
      <w:r>
        <w:t xml:space="preserve">Другой исследователь, Питирим Сорокин, развил инновационную теорию в социокультурной сфере. В опубликованном в 1937–1941 гг. четырехтомнике «Социальная и культурная динамика» он исследовал динамику технических изобретений, социальных и духовных идей за более чем 5 тыс. лет истории человечества. Питирим Сорокин создал также теорию цивилизационных ступеней развития человечества. Цивилизация — историческая общность людей, объединенных каким-то типом мировоззрения (идеалы, ценности, методы познания). Развитие человечества демонстрирует три фазы такого цивилизационного развития, в которых меняется цивилизационно-мировоззренческая основа объединения людей. Идеациональная цивилизация основана на том или ином типе религиозного мировоззрения и господствует в период Средневековья. Ее идеалом является стремление к спасению человеческой души. Сенситивная (чувственная) цивилизация возникает на основе материалистического мировоззрения и является отрицанием идеациональной цивилизации. Ее идеалами являются </w:t>
      </w:r>
      <w:r>
        <w:lastRenderedPageBreak/>
        <w:t>богатство и комфорт. Она характерна для индустриальной стадии развития человечества. Идеалистическая (интегральная) цивилизация возникает на основе конвергенции религиозного и материалистического мировоззрения, беря от своих составляющих все положительное. Она характерна для последней стадии индустриализма. Однако автор отрицал наличие общего тренда исторического прогресса, как и отдельные другие русские ученые той эпохи (например Н. А. Бердяев)</w:t>
      </w:r>
      <w:r w:rsidRPr="008151E2">
        <w:t xml:space="preserve"> [14, </w:t>
      </w:r>
      <w:r>
        <w:rPr>
          <w:lang w:val="en-US"/>
        </w:rPr>
        <w:t>c</w:t>
      </w:r>
      <w:r w:rsidRPr="008151E2">
        <w:t>. 326]</w:t>
      </w:r>
      <w:r>
        <w:t xml:space="preserve">. </w:t>
      </w:r>
    </w:p>
    <w:p w:rsidR="0011447A" w:rsidRDefault="0011447A" w:rsidP="0011447A">
      <w:r>
        <w:t>Второй период развития теорий инноваций (1940–1970-е гг.) не характеризуется коренными научными прорывами. Однако развитие теории инноваций имело свое продолжение. Главными заделами в этот период стали работы английского исследователя Дж. Бернала «Наука в истории общества», а также труды американского автора русского происхождения С. Кузнеца</w:t>
      </w:r>
      <w:r w:rsidRPr="008151E2">
        <w:t xml:space="preserve"> [20, </w:t>
      </w:r>
      <w:r>
        <w:rPr>
          <w:lang w:val="en-US"/>
        </w:rPr>
        <w:t>c</w:t>
      </w:r>
      <w:r w:rsidRPr="008151E2">
        <w:t>. 156]</w:t>
      </w:r>
      <w:r>
        <w:t xml:space="preserve">. С. Кузнец исследовал взаимосвязь инноваций с экономическим развитием. В своих работах он продолжил развитие идей Й. Шумпетера и Дж. Бернала. По мнению С. Кузнеца, эпохальным нововведением — новым источником роста — стало ускоренное развитие науки. Под экономическим ростом С. Кузнец подразумевал долгосрочное увеличение способности хозяйства обеспечивать все более разнообразные потребности населения с помощью все более эффективных технологий и соответствующих им институциональных и идеологических изменений. Он отмечал, что суще- ствует три главных признака экономического роста: </w:t>
      </w:r>
    </w:p>
    <w:p w:rsidR="0011447A" w:rsidRDefault="0011447A" w:rsidP="0011447A">
      <w:r>
        <w:t xml:space="preserve">1) постоянный рост национального продукта и, следовательно, способности хозяйства удовлетворять все более широкий круг потребностей людей, являющийся свидетельством зрелости экономики; </w:t>
      </w:r>
    </w:p>
    <w:p w:rsidR="0011447A" w:rsidRDefault="0011447A" w:rsidP="0011447A">
      <w:r>
        <w:t xml:space="preserve">2) технический прогресс, который является основой роста, его необходимым условием; </w:t>
      </w:r>
    </w:p>
    <w:p w:rsidR="0011447A" w:rsidRDefault="0011447A" w:rsidP="0011447A">
      <w:r>
        <w:t>3) институциональные, поведенческие и идеологические изменения, необходимые для реализации заложенного в новой технологии потенциала роста</w:t>
      </w:r>
      <w:r w:rsidRPr="00F23F57">
        <w:t xml:space="preserve"> [6, </w:t>
      </w:r>
      <w:r>
        <w:rPr>
          <w:lang w:val="en-US"/>
        </w:rPr>
        <w:t>c</w:t>
      </w:r>
      <w:r w:rsidRPr="00F23F57">
        <w:t>. 371]</w:t>
      </w:r>
      <w:r>
        <w:t xml:space="preserve">. </w:t>
      </w:r>
    </w:p>
    <w:p w:rsidR="0011447A" w:rsidRDefault="0011447A" w:rsidP="0011447A">
      <w:r>
        <w:lastRenderedPageBreak/>
        <w:t xml:space="preserve">Основной прорыв в развитии человеческого знания обеспечивался эпохальными нововведениями или инновациями. С. Кузнец считал, что изменчивый курс экономической истории можно разделить на экономические эпохи, каждая из которых определяется эпохальным нововведением с присущими ей характеристиками роста. Одним из важнейших источников экономического роста является появление современной науки как основы развития технологии — прорыв в эволюционном развитии науки, который создал потенциал для развития технологии, во много раз больший, чем существовавший до этого. Именно эпохальные нововведения и реализующие их потенциал волны базисных инноваций лежат в основе перехода не только экономики, но и всего общества в целом с одной ступени на другую. </w:t>
      </w:r>
    </w:p>
    <w:p w:rsidR="0011447A" w:rsidRDefault="0011447A" w:rsidP="0011447A">
      <w:r>
        <w:t>Третий этап в развитии теории инноваций связан с работой немецкого ученого Г. Менша «Технологический пат: инновации преодолевают депрессию» и последовавших за ней публикаций и международных конференций, посвященных теории длинноволновых колебаний</w:t>
      </w:r>
      <w:r w:rsidRPr="00F23F57">
        <w:t xml:space="preserve"> [9, </w:t>
      </w:r>
      <w:r>
        <w:rPr>
          <w:lang w:val="en-US"/>
        </w:rPr>
        <w:t>c</w:t>
      </w:r>
      <w:r w:rsidRPr="00F23F57">
        <w:t>. 408]</w:t>
      </w:r>
      <w:r>
        <w:t xml:space="preserve">. </w:t>
      </w:r>
    </w:p>
    <w:p w:rsidR="0011447A" w:rsidRDefault="0011447A" w:rsidP="0011447A">
      <w:r>
        <w:t xml:space="preserve">А. И. Анчишкин выделил в истории научно-технического прогресса три этапа, в результате которых реализовывались кластеры базисных инноваций: </w:t>
      </w:r>
    </w:p>
    <w:p w:rsidR="0011447A" w:rsidRDefault="0011447A" w:rsidP="0011447A">
      <w:pPr>
        <w:pStyle w:val="a9"/>
        <w:numPr>
          <w:ilvl w:val="0"/>
          <w:numId w:val="3"/>
        </w:numPr>
        <w:ind w:left="0" w:firstLine="709"/>
      </w:pPr>
      <w:r>
        <w:t xml:space="preserve">первая промышленная революция — конец XVIII — начало XIX в.; </w:t>
      </w:r>
    </w:p>
    <w:p w:rsidR="0011447A" w:rsidRDefault="0011447A" w:rsidP="0011447A">
      <w:pPr>
        <w:pStyle w:val="a9"/>
        <w:numPr>
          <w:ilvl w:val="0"/>
          <w:numId w:val="3"/>
        </w:numPr>
        <w:ind w:left="0" w:firstLine="709"/>
      </w:pPr>
      <w:r>
        <w:t xml:space="preserve">вторая промышленная революция — последняя треть XIX — начало XX в.; </w:t>
      </w:r>
    </w:p>
    <w:p w:rsidR="0011447A" w:rsidRDefault="0011447A" w:rsidP="0011447A">
      <w:pPr>
        <w:pStyle w:val="a9"/>
        <w:numPr>
          <w:ilvl w:val="0"/>
          <w:numId w:val="3"/>
        </w:numPr>
        <w:ind w:left="0" w:firstLine="709"/>
      </w:pPr>
      <w:r>
        <w:t xml:space="preserve">третья промышленная революция, начавшаяся с середины XX в. и переросшая в научно-техническую революцию. </w:t>
      </w:r>
    </w:p>
    <w:p w:rsidR="0011447A" w:rsidRDefault="0011447A" w:rsidP="0011447A">
      <w:r>
        <w:t>По его мнению, в последние десятилетия XX в. начали складываться признаки новой, второй волны НТР, основные черты которой — коренная перестройка технологий производства на основе электроники, биотехнологий, генной инженерии, автоматизации сложных технических систем, информационный взрыв.</w:t>
      </w:r>
    </w:p>
    <w:p w:rsidR="0011447A" w:rsidRDefault="0011447A" w:rsidP="0011447A">
      <w:r>
        <w:lastRenderedPageBreak/>
        <w:t xml:space="preserve">Современный этап исследования инноваций связан с работами в рамках постклассической науки и показывает системный децентрализованный нелинейный характер развития инноваций. Здесь можно отметить работы по региональным инновационным системам Ф. Кука; исследования современного инновационного процесса Э. Хиппела, а также труды М. Кастельса, Г. Ицковица, Л. Лейдесдорфа, и др. </w:t>
      </w:r>
    </w:p>
    <w:p w:rsidR="0011447A" w:rsidRDefault="0011447A" w:rsidP="0011447A">
      <w:r>
        <w:t>С начала 2000</w:t>
      </w:r>
      <w:r>
        <w:noBreakHyphen/>
        <w:t>х гг. были разработаны концепции «обучающихся регионов», «инновационных сетей», «инновационной среды (milieus)», «кластеров-компетенций». Особый акцент был сделан на исследованиях нетехнологических инноваций и их значения в развитии общества (В. Цапф, Ю. Хотвалд), региональной специфики инновационного развития (Ф. Кук), на нелинейных инновационных процессах в пространственных сетях, инновационных режимах (П.-Б. Жоли, А. Рип)</w:t>
      </w:r>
      <w:r w:rsidRPr="00F23F57">
        <w:t xml:space="preserve"> [12, </w:t>
      </w:r>
      <w:r>
        <w:rPr>
          <w:lang w:val="en-US"/>
        </w:rPr>
        <w:t>c</w:t>
      </w:r>
      <w:r w:rsidRPr="00F23F57">
        <w:t>. 164]</w:t>
      </w:r>
      <w:r>
        <w:t xml:space="preserve">. </w:t>
      </w:r>
    </w:p>
    <w:p w:rsidR="0011447A" w:rsidRDefault="0011447A" w:rsidP="0011447A">
      <w:r>
        <w:t xml:space="preserve">Обобщая вышесказанное, можно сказать, что за время своего развития инновационная теория подверглась сильным изменениям. Однако на сегодняшний день одновременно сосуществуют различные направления и школы инновационного развития, пытающиеся обосновать и представить свои теоретические находки как наиболее адекватные современным экономическим, социальным и экологическим вызовам. </w:t>
      </w:r>
    </w:p>
    <w:p w:rsidR="0011447A" w:rsidRPr="005428BE" w:rsidRDefault="0011447A" w:rsidP="0011447A">
      <w:r w:rsidRPr="005428BE">
        <w:t xml:space="preserve">Технологии – от прессы до парового двигателя и Интернета – всегда выступали силой, изменяющей статус-кво. Особенность сегодняшнего времени в повсеместной и полнейшей доступности технологий и в скорости изменений. Прошло 50 лет с момента изобретения телефона и до того момента, когда им стало обладать 50% населения США. Для привлечения 50 млн слушателей радио потребовалось 38 лет. Однако Facebook привлек 6 млн пользователей за первый год своего существования, и это число увеличилось за следующие пять лет в 100 раз. Китайская мобильная коммуникационная система для передачи текстовых и голосовых сообщений, разработанная китайской компанией «Tencent», имеет 300 млн пользователей ‒ больше, чем численность взрослого населения США. Ускоренное использование рождает </w:t>
      </w:r>
      <w:r w:rsidRPr="005428BE">
        <w:lastRenderedPageBreak/>
        <w:t>ускоренные инновации. В 2009 г., два года спустя после запуска первого айфона, разработчики создали 150 тыс. приложений к нему. К 2014 г. это число выросло до 1,2 млн, причем пользователи загрузили различные приложения более 75 млрд раз ‒ на каждого человека на планете пришлось свыше десяти. По мере ускорения распространения инноваций в последние годы происходило их изменение и экспоненциальный рост, который не могла предвидеть человеческая интуиция.</w:t>
      </w:r>
    </w:p>
    <w:p w:rsidR="0011447A" w:rsidRPr="005428BE" w:rsidRDefault="0011447A" w:rsidP="0011447A">
      <w:r w:rsidRPr="005428BE">
        <w:t>Влияние технологий значительно усилено сопутствующей революцией в распространении информации, а также быстрым распространением основанных на технологиях бизнес-моделей, от онлайновых торговых платформ типа «Alibaba» до мобильных приложений для поиска, вызова и оплаты такси или частных водителей как у компании «Uber».</w:t>
      </w:r>
    </w:p>
    <w:p w:rsidR="0011447A" w:rsidRPr="005428BE" w:rsidRDefault="0011447A" w:rsidP="0011447A">
      <w:r w:rsidRPr="005428BE">
        <w:t>Двадцать лет назад мобильными телефонами обладало менее 3% населения планеты, в настоящее время их имеют две трети населения, причем треть может пользоваться Интернетом. Технологии позволяют предпринимателям, таким как «WhatsApp», начинать бизнес и наращивать его масштабы с невиданной скоростью при использовании минимума капитала. Предприниматели и стартаперы теперь часто обладают преимуществами по сравнению с крупными действующими компаниями. Огромная скорость технологических изменений и инноваций укорачивает жизненный цикл компаний и заставляет их руководство гораздо быстрее осуществлять инвестиционные и управленческие решения.</w:t>
      </w:r>
    </w:p>
    <w:p w:rsidR="0011447A" w:rsidRPr="004851A8" w:rsidRDefault="0011447A" w:rsidP="0011447A">
      <w:r w:rsidRPr="004851A8">
        <w:t>В общем потоке научно-технического прогресса на современном этапе особое значение принимает трансферт (передача) технологий в межстрановом аспекте</w:t>
      </w:r>
      <w:r w:rsidRPr="00F23F57">
        <w:t xml:space="preserve"> [14, </w:t>
      </w:r>
      <w:r>
        <w:rPr>
          <w:lang w:val="en-US"/>
        </w:rPr>
        <w:t>c</w:t>
      </w:r>
      <w:r w:rsidRPr="00F23F57">
        <w:t>. 207]</w:t>
      </w:r>
      <w:r w:rsidRPr="004851A8">
        <w:t xml:space="preserve">. Технологический трансферт является важным элементом мирохозяйственных отношений. Главные обстоятельства, объясняющие значимость этого процесса, состоят в том, что, с одной стороны, ни одно государство, даже экономически мощное, не может одинаково успешно разрабатывать все основные (ключевые) направления НТП. С другой стороны, эффективность во многом зависит от того, </w:t>
      </w:r>
      <w:r w:rsidRPr="004851A8">
        <w:lastRenderedPageBreak/>
        <w:t>насколько быстро и широко его достижения распространяются на всю или большую часть экономики страны. Последнее обуславливает участие страны в международном разделении труда, конкурентоспособность на мировых ранках.</w:t>
      </w:r>
    </w:p>
    <w:p w:rsidR="0011447A" w:rsidRPr="004851A8" w:rsidRDefault="0011447A" w:rsidP="0011447A">
      <w:r w:rsidRPr="004851A8">
        <w:t>Проблема трансферта технологий от их разработчиков к странам (и фирмам), пользующимся конечными результатами, достаточно сложна и противоречива. Формирование связей по трансферту технологий создает как огромный положительный эффект, идущий от использования страновых (или фирмовых) преимуществ в факторах производства (более низкие цены на факторы производства, отсутствие больших затрат и потерь времени на разработку, синергический эффект), так и негативные следствия, связанные с отношениями зависимости, часто возникающими при передачи технологий более слабым в экономическом отношении партнерам (фирмам, странам).</w:t>
      </w:r>
    </w:p>
    <w:p w:rsidR="0011447A" w:rsidRDefault="0011447A" w:rsidP="0011447A">
      <w:r w:rsidRPr="004851A8">
        <w:t>С момента своего возникновения до настоящего времени межстрановый технологический трансферт осуществлялся преимущественно международными корпорациями, и его формы эволюционировали параллельно со становлением, ростом и экспансией ТНК.</w:t>
      </w:r>
    </w:p>
    <w:p w:rsidR="0011447A" w:rsidRPr="005A316C" w:rsidRDefault="0011447A" w:rsidP="0011447A">
      <w:r w:rsidRPr="005A316C">
        <w:t>В то время как Генеральная Ассамблея ООН готовится к осуществлению Целей в области устойчивого развития (ЦУР), Статистический институт ЮНЕСКО разработал новый инструмент сбора данных, содержащий информацию о ведущих и перспективных предприятиях в области научных исследований и опытно-конструкторских разработок (НИОКР).</w:t>
      </w:r>
    </w:p>
    <w:p w:rsidR="0011447A" w:rsidRPr="005A316C" w:rsidRDefault="0011447A" w:rsidP="0011447A">
      <w:r w:rsidRPr="005A316C">
        <w:t>«Инновации имеют ключевое значение для достижения всех Целей в области устойчивого развития. В связи с этим, крайне важно отслеживать инвестиции в знания, технологии и идеи, способствующие развитию инноваций в странах», - заявила директор Статистического института ЮНЕСКО Сильвия Монтойя.</w:t>
      </w:r>
    </w:p>
    <w:p w:rsidR="0011447A" w:rsidRPr="005A316C" w:rsidRDefault="0011447A" w:rsidP="0011447A">
      <w:r w:rsidRPr="005A316C">
        <w:t xml:space="preserve">ЦУР 9 призывает правительства поощрять устойчивое промышленное развитие и инновации путём повышения расходов на НИОКР, а также </w:t>
      </w:r>
      <w:bookmarkStart w:id="2" w:name="_GoBack"/>
      <w:bookmarkEnd w:id="2"/>
      <w:r w:rsidRPr="005A316C">
        <w:lastRenderedPageBreak/>
        <w:t>увеличения числа исследователей. Оба показателя присутствуют в новом инструменте для сбора данных под названием «Сколько ваша страна инвестирует в НИОКР»?</w:t>
      </w:r>
    </w:p>
    <w:p w:rsidR="0011447A" w:rsidRPr="005A316C" w:rsidRDefault="0011447A" w:rsidP="0011447A">
      <w:r w:rsidRPr="005A316C">
        <w:t>В пятёрку стран, лидирующих по объёмам инвестиций в НИОКР в абсолютном выражении (расходы на НИОКР) вошли крупные экономические державы: США, за которыми следуют Китай, Япония, Германия и Республика Корея. Однако рейтинг изменяется коренным образом при использовании данных, которые будут применяться для мониторинга ЦУР 9 (расходы на НИОКР в процентном отношении к ВВП): мировым лидером является Республика Корея, за которой следуют Израиль, Япония, Финляндия и Швеция.</w:t>
      </w:r>
    </w:p>
    <w:p w:rsidR="0011447A" w:rsidRPr="005A316C" w:rsidRDefault="0011447A" w:rsidP="0011447A">
      <w:r w:rsidRPr="005A316C">
        <w:t>В течение некоторого времени регионы устанавливали свои собственные плановые нормы расходов: наиболее известной является цель Европейского Союза (ЕС), предполагающая увеличение общего объёма инвестиций в НИОКР до 3% ВВП к 2020 году.</w:t>
      </w:r>
    </w:p>
    <w:p w:rsidR="0011447A" w:rsidRPr="005A316C" w:rsidRDefault="0011447A" w:rsidP="0011447A">
      <w:r w:rsidRPr="005A316C">
        <w:t>Согласно данным СИЮ, только шести странам удалось перевыполнить поставленную цель в 3%, причём три из них – страны ЕС с небольшой экономикой: Дания, Финляндия и Швеция. Их, в свою очередь, значительно опережают Япония (3,6%) и Израиль с впечатляющим показателем в 4,1%. Мировым лидером является Южная Корея, увеличившая инвестиции до 4,3% ВВП. Австрия, Германия и Швейцария находятся примерно на уровне 3%, так же, как и США, расходующие больше, чем любая из этих стран.</w:t>
      </w:r>
    </w:p>
    <w:p w:rsidR="0011447A" w:rsidRPr="005A316C" w:rsidRDefault="0011447A" w:rsidP="0011447A">
      <w:r w:rsidRPr="005A316C">
        <w:t xml:space="preserve">Лишь немногие страны в других регионах мира способны конкурировать с этими показателями. В Центральной и Восточной Европе Словения занимает лидирующие позиции (2,4%), опережая Российскую Федерацию (1,2%). В Центральной Азии цифры колеблются на уровне 0,2%, как, например, в случае Казахстана. В странах Арабского региона на вершине рейтинга находится Марокко, где объем инвестиционных вложений составил лишь 0,7%. Бразилия является лидером в Латинской Америке (1,2%), а Индия </w:t>
      </w:r>
      <w:r w:rsidRPr="005A316C">
        <w:lastRenderedPageBreak/>
        <w:t>(0,8%) – в Южной и Западной Азии. В Африке Африканский союз стремится к 1%, но только Кения, Мали и Южная Африка близки к цели.</w:t>
      </w:r>
    </w:p>
    <w:p w:rsidR="0011447A" w:rsidRPr="005A316C" w:rsidRDefault="0011447A" w:rsidP="0011447A">
      <w:r w:rsidRPr="005A316C">
        <w:t>Согласно данным СИЮ, в Китае среднегодовой темп роста расходов на НИОКР достигает исключительного уровня в 18,3%, по сравнению с лишь 1,4% в остальных странах мира с уровнем дохода выше среднего. Расходы Китая на НИОКР составляют всего 2% от ВВП, но это означает, что страна вкладывает примерно 369 миллиардов долларов ежегодно в данный сектор. В то время как доля глобальных затрат на НИОКР в странах с высоким уровнем дохода сократилась с 88% в 1996 году до 69,3% в 2013 году, один только Китай восполнил этот пробел, увеличив инвестиции с 2,5% до 19,6%. Таким образом, Китай всё активнее приближается к США, на которые приходится практически 30% глобальных расходов на НИОКР.</w:t>
      </w:r>
    </w:p>
    <w:p w:rsidR="0011447A" w:rsidRPr="005A316C" w:rsidRDefault="0011447A" w:rsidP="0011447A">
      <w:r w:rsidRPr="005A316C">
        <w:t>В мировом масштабе, на один миллион жителей в 2013 году приходилось 1083 исследователей. Однако доля исследователей в странах со средним уровнем дохода, за исключением Китая, снизилась с 17% до 15% в период между 1996 и 2013 годами. Эта тревожная тенденция к снижению имеет глобальные последствия для устойчивого развития.  </w:t>
      </w:r>
    </w:p>
    <w:p w:rsidR="0011447A" w:rsidRDefault="0011447A" w:rsidP="0011447A">
      <w:r>
        <w:t>На сегодняшний день в мире наибольшее внимание уделяется развтию и совершенствованию программного обеспечения.</w:t>
      </w:r>
    </w:p>
    <w:p w:rsidR="0011447A" w:rsidRPr="005A316C" w:rsidRDefault="0011447A" w:rsidP="0011447A">
      <w:r w:rsidRPr="005A316C">
        <w:t>Согласно результатам</w:t>
      </w:r>
      <w:r>
        <w:t xml:space="preserve"> </w:t>
      </w:r>
      <w:r w:rsidRPr="005A316C">
        <w:t>исследования «Глобальные лидеры инноваций» (2016 Global Innovation 1000 Study) за 2016 год, проведенного фирмой</w:t>
      </w:r>
      <w:r>
        <w:t xml:space="preserve"> </w:t>
      </w:r>
      <w:r w:rsidRPr="005A316C">
        <w:t xml:space="preserve">Strategy&amp;, входящей в состав PwC и специализирующейся на оказании услуг в области стратегического консультирования, к 2020 году компании перераспределят большую часть расходов на НИОКР, которые ранее направлялись на создание товаров, в пользу разработки программного обеспечения и сервисов. Основной причиной таких мер является необходимость сохранять конкурентоспособность, и это неслучайная тенденция: согласно результатам исследования, компании, отметившие в своей отчетности ускоренные темпы роста выручки по сравнению с основными конкурентами, выделяют на 25 % больше средств из бюджетов на </w:t>
      </w:r>
      <w:r w:rsidRPr="005A316C">
        <w:lastRenderedPageBreak/>
        <w:t>НИОКР на разработку программного обеспечения, чем компании, сообщившие о более низких темпах роста.</w:t>
      </w:r>
    </w:p>
    <w:p w:rsidR="0011447A" w:rsidRPr="005A316C" w:rsidRDefault="0011447A" w:rsidP="0011447A">
      <w:r w:rsidRPr="005A316C">
        <w:t>Среднее распределение средств из бюджетов на НИОКР на разработку программного обеспечения и сервисов выросло с 54 % до 59 % в период с 2010 по 2015 год, и ожидается, что этот показатель увеличится до 63 % в 2020 году.</w:t>
      </w:r>
    </w:p>
    <w:p w:rsidR="0011447A" w:rsidRPr="005A316C" w:rsidRDefault="0011447A" w:rsidP="0011447A">
      <w:r w:rsidRPr="005A316C">
        <w:t>В то же время среднее распределение средств из бюджетов на НИОКР на разработку продукции сократилось до 41 % (с 46 % в 2010 году), и ожидается, что этот показатель снизится до 37 % к 2020 году (таким образом, общее снижение за эти десять лет составит 19 %).</w:t>
      </w:r>
    </w:p>
    <w:p w:rsidR="0011447A" w:rsidRPr="005A316C" w:rsidRDefault="0011447A" w:rsidP="0011447A">
      <w:r w:rsidRPr="005A316C">
        <w:t>Среднее распределение средств из бюджетов на НИОКР на разработку только программного обеспечения вырастет на 43 % к концу этого десятилетия, а суммы средств, выделенных из бюджетов на НИОКР на разработку сервисов, постепенно превысят инвестиции в инновационные разработки продукции (39 % по сравнению с 37 % к 2020 году).</w:t>
      </w:r>
    </w:p>
    <w:p w:rsidR="0011447A" w:rsidRPr="005A316C" w:rsidRDefault="0011447A" w:rsidP="0011447A">
      <w:r w:rsidRPr="005A316C">
        <w:t>В период с 2010 по 2015 год мировые расходы на НИОКР на разработку программного обеспечения выросли на 65 % (с 86 до 142 млрд долл. США). </w:t>
      </w:r>
    </w:p>
    <w:p w:rsidR="0011447A" w:rsidRPr="00E32E6F" w:rsidRDefault="0011447A" w:rsidP="0011447A">
      <w:r w:rsidRPr="00E32E6F">
        <w:t xml:space="preserve">По оценкам экспертов </w:t>
      </w:r>
      <w:r>
        <w:t>к</w:t>
      </w:r>
      <w:r w:rsidRPr="00E32E6F">
        <w:t>омпании будут нанимать все меньше инженеров-механиков и все больше инженеров в области ИТ и программистов для разработки необходимых инструментов и средств.</w:t>
      </w:r>
    </w:p>
    <w:p w:rsidR="0011447A" w:rsidRPr="00E32E6F" w:rsidRDefault="0011447A" w:rsidP="0011447A">
      <w:r w:rsidRPr="00E32E6F">
        <w:t>В этой связи все меньше компаний будут направлять средства из бюджетов на НИОКР на разработки в области электрооборудования и машиностроения. К 2020 году количество компаний, указавших, что они отдают предпочтение инженерам-электротехникам при найме сотрудников соответствующих специальностей, сократится на 35 %, а число компаний, ожидающих, что в их компании будет работать больше всего инженеров в области ИТ, увеличится вдвое с 8 до 16 %.</w:t>
      </w:r>
    </w:p>
    <w:p w:rsidR="0011447A" w:rsidRPr="00E32E6F" w:rsidRDefault="0011447A" w:rsidP="0011447A">
      <w:r w:rsidRPr="00E32E6F">
        <w:t xml:space="preserve">На региональном уровне заметнее всего переориентировались на разработку программного обеспечения компании в Северной Америке: с </w:t>
      </w:r>
      <w:r w:rsidRPr="00E32E6F">
        <w:lastRenderedPageBreak/>
        <w:t>15 % от общих расходов на НИОКР в 2010 году до 24 % – в 2020 году. Азия остается регионом, в котором компании больше всего внимания уделяют разработке продукции, при этом в 2010 году 44 % расходов на НИОКР распределялись на разработку продукции, однако в 2020 году этот показатель сократится лишь до 40 %. Компании из автомобильного и промышленного секторов наиболее настойчиво стремятся переориентироваться на разработку нового программного обеспечения.</w:t>
      </w:r>
    </w:p>
    <w:p w:rsidR="0011447A" w:rsidRPr="00E32E6F" w:rsidRDefault="0011447A" w:rsidP="0011447A">
      <w:r w:rsidRPr="00E32E6F">
        <w:t>Из числа компаний, которые приобрели активы за последние пять лет, большая часть компаний (71 %) связывают приобретение со стремлением расширить возможности в области разработки программного обеспечения (33 %) или сервисов (38 %).</w:t>
      </w:r>
    </w:p>
    <w:p w:rsidR="0011447A" w:rsidRPr="00E32E6F" w:rsidRDefault="0011447A" w:rsidP="0011447A">
      <w:r w:rsidRPr="00E32E6F">
        <w:t>В результате анализа 1 000 компаний, лидирующих по объемам расходов на НИОКР в мире, который ежегодного проводится Strategy&amp;, было также установлено следующее:</w:t>
      </w:r>
    </w:p>
    <w:p w:rsidR="0011447A" w:rsidRPr="00E32E6F" w:rsidRDefault="0011447A" w:rsidP="0011447A">
      <w:pPr>
        <w:pStyle w:val="a9"/>
        <w:numPr>
          <w:ilvl w:val="0"/>
          <w:numId w:val="4"/>
        </w:numPr>
        <w:ind w:left="142" w:firstLine="567"/>
      </w:pPr>
      <w:r w:rsidRPr="00E32E6F">
        <w:t>К 2018 году сектор здравоохранения опередит сектор информационных технологий и электроники и займет первое место в мире по объемам расходов на НИОКР (165 млрд долл. США и 159 млрд долл. США соответственно), а сектор программного обеспечения и интернет-технологий обгонит автомобильную промышленность (129 млрд долл. США и 105 млрд долл. США соответственно); а замыкать пятерку отраслей-лидеров по объемам расходов на НИОКР будет промышленный сектор.</w:t>
      </w:r>
    </w:p>
    <w:p w:rsidR="0011447A" w:rsidRPr="00E32E6F" w:rsidRDefault="0011447A" w:rsidP="0011447A">
      <w:pPr>
        <w:pStyle w:val="a9"/>
        <w:numPr>
          <w:ilvl w:val="0"/>
          <w:numId w:val="4"/>
        </w:numPr>
        <w:ind w:left="142" w:firstLine="567"/>
      </w:pPr>
      <w:r w:rsidRPr="00E32E6F">
        <w:t>Впервые за всю историю проведения исследования выросло количество компаний, вошедших в исследование «Глобальные лидеры инноваций» (Global Innovation 1000), с головными офисами в США (на 9,5 % по сравнению с предыдущим годом).</w:t>
      </w:r>
    </w:p>
    <w:p w:rsidR="0011447A" w:rsidRPr="00E32E6F" w:rsidRDefault="0011447A" w:rsidP="0011447A">
      <w:pPr>
        <w:pStyle w:val="a9"/>
        <w:numPr>
          <w:ilvl w:val="0"/>
          <w:numId w:val="4"/>
        </w:numPr>
        <w:ind w:left="142" w:firstLine="567"/>
      </w:pPr>
      <w:r w:rsidRPr="00E32E6F">
        <w:t>Компании Volkswagen, Samsung, Amazon, Alphabet (Google) и Intel вошли в пятерку компаний-лидеров по объемам расходов на НИОКР, при этом компании Amazon и Google заняли первые места в этом списке (поднявшись на 4 и 2 строчки соответственно).</w:t>
      </w:r>
    </w:p>
    <w:p w:rsidR="0011447A" w:rsidRPr="00E32E6F" w:rsidRDefault="0011447A" w:rsidP="0011447A">
      <w:pPr>
        <w:pStyle w:val="a9"/>
        <w:numPr>
          <w:ilvl w:val="0"/>
          <w:numId w:val="4"/>
        </w:numPr>
        <w:ind w:left="142" w:firstLine="567"/>
      </w:pPr>
      <w:r w:rsidRPr="00E32E6F">
        <w:lastRenderedPageBreak/>
        <w:t>Мировые эксперты в области инноваций, участвовавшие в исследовании 2016 года, назвали компании Apple, Alphabet (Google) и 3M тремя наиболее инновационными компаниями в мире.</w:t>
      </w:r>
    </w:p>
    <w:p w:rsidR="0011447A" w:rsidRPr="00E32E6F" w:rsidRDefault="0011447A" w:rsidP="0011447A">
      <w:pPr>
        <w:pStyle w:val="a9"/>
        <w:numPr>
          <w:ilvl w:val="0"/>
          <w:numId w:val="4"/>
        </w:numPr>
        <w:ind w:left="142" w:firstLine="567"/>
      </w:pPr>
      <w:r w:rsidRPr="00E32E6F">
        <w:t>Каждый год на протяжении последних семи лет десятка наиболее инновационных компаний опережает десятку компаний-лидеров по объемам расходов на НИОКР с точки зрения ключевых показателей эффективности деятельности.</w:t>
      </w:r>
    </w:p>
    <w:p w:rsidR="0011447A" w:rsidRDefault="0011447A" w:rsidP="0011447A"/>
    <w:p w:rsidR="0011447A" w:rsidRDefault="0011447A" w:rsidP="0011447A">
      <w:pPr>
        <w:rPr>
          <w:rFonts w:ascii="Georgia" w:hAnsi="Georgia"/>
          <w:color w:val="000000"/>
          <w:sz w:val="25"/>
          <w:szCs w:val="25"/>
        </w:rPr>
      </w:pPr>
      <w:r>
        <w:t xml:space="preserve">Таблица 1 – </w:t>
      </w:r>
      <w:r w:rsidRPr="00E32E6F">
        <w:t>Рейтинг 2016 года. Сравнение</w:t>
      </w:r>
      <w:r>
        <w:rPr>
          <w:rFonts w:ascii="Georgia" w:hAnsi="Georgia"/>
          <w:color w:val="000000"/>
          <w:sz w:val="25"/>
          <w:szCs w:val="25"/>
        </w:rPr>
        <w:t xml:space="preserve"> результатов наиболее инновационных компаний с достижениями десятки компаний-лидеров по объемам расходов на НИОКР</w:t>
      </w:r>
    </w:p>
    <w:tbl>
      <w:tblPr>
        <w:tblStyle w:val="ab"/>
        <w:tblW w:w="5000" w:type="pct"/>
        <w:tblLayout w:type="fixed"/>
        <w:tblLook w:val="04A0" w:firstRow="1" w:lastRow="0" w:firstColumn="1" w:lastColumn="0" w:noHBand="0" w:noVBand="1"/>
      </w:tblPr>
      <w:tblGrid>
        <w:gridCol w:w="2309"/>
        <w:gridCol w:w="1775"/>
        <w:gridCol w:w="1014"/>
        <w:gridCol w:w="933"/>
        <w:gridCol w:w="1426"/>
        <w:gridCol w:w="1014"/>
        <w:gridCol w:w="1100"/>
      </w:tblGrid>
      <w:tr w:rsidR="0011447A" w:rsidRPr="005A316C" w:rsidTr="008B74DC">
        <w:trPr>
          <w:trHeight w:val="1134"/>
        </w:trPr>
        <w:tc>
          <w:tcPr>
            <w:tcW w:w="2343" w:type="dxa"/>
            <w:hideMark/>
          </w:tcPr>
          <w:p w:rsidR="0011447A" w:rsidRPr="005A316C" w:rsidRDefault="0011447A" w:rsidP="008B74DC">
            <w:pPr>
              <w:pStyle w:val="aa"/>
            </w:pPr>
            <w:r w:rsidRPr="005A316C">
              <w:t>Рейтинг</w:t>
            </w:r>
          </w:p>
        </w:tc>
        <w:tc>
          <w:tcPr>
            <w:tcW w:w="1800" w:type="dxa"/>
            <w:textDirection w:val="btLr"/>
            <w:hideMark/>
          </w:tcPr>
          <w:p w:rsidR="0011447A" w:rsidRPr="005A316C" w:rsidRDefault="0011447A" w:rsidP="008B74DC">
            <w:pPr>
              <w:pStyle w:val="aa"/>
              <w:ind w:left="113" w:right="113"/>
            </w:pPr>
            <w:r w:rsidRPr="005A316C">
              <w:t>Десятка наиболее* инновационных компаний</w:t>
            </w:r>
          </w:p>
        </w:tc>
        <w:tc>
          <w:tcPr>
            <w:tcW w:w="1026" w:type="dxa"/>
            <w:textDirection w:val="btLr"/>
            <w:hideMark/>
          </w:tcPr>
          <w:p w:rsidR="0011447A" w:rsidRPr="005A316C" w:rsidRDefault="0011447A" w:rsidP="008B74DC">
            <w:pPr>
              <w:pStyle w:val="aa"/>
              <w:ind w:left="113" w:right="113"/>
            </w:pPr>
            <w:r w:rsidRPr="005A316C">
              <w:t>Расходы на НИОКР</w:t>
            </w:r>
            <w:r w:rsidRPr="005A316C">
              <w:br/>
              <w:t>в 2016 году (в млрд долл. США)</w:t>
            </w:r>
          </w:p>
        </w:tc>
        <w:tc>
          <w:tcPr>
            <w:tcW w:w="944" w:type="dxa"/>
            <w:textDirection w:val="btLr"/>
            <w:hideMark/>
          </w:tcPr>
          <w:p w:rsidR="0011447A" w:rsidRPr="005A316C" w:rsidRDefault="0011447A" w:rsidP="008B74DC">
            <w:pPr>
              <w:pStyle w:val="aa"/>
              <w:ind w:left="113" w:right="113"/>
            </w:pPr>
            <w:r w:rsidRPr="005A316C">
              <w:t>Наукоемкость</w:t>
            </w:r>
          </w:p>
        </w:tc>
        <w:tc>
          <w:tcPr>
            <w:tcW w:w="1445" w:type="dxa"/>
            <w:textDirection w:val="btLr"/>
            <w:hideMark/>
          </w:tcPr>
          <w:p w:rsidR="0011447A" w:rsidRPr="005A316C" w:rsidRDefault="0011447A" w:rsidP="008B74DC">
            <w:pPr>
              <w:pStyle w:val="aa"/>
              <w:ind w:left="113" w:right="113"/>
            </w:pPr>
            <w:r w:rsidRPr="005A316C">
              <w:t>Десятка компаний-лидеров по расходам на НИОКР</w:t>
            </w:r>
          </w:p>
        </w:tc>
        <w:tc>
          <w:tcPr>
            <w:tcW w:w="1026" w:type="dxa"/>
            <w:textDirection w:val="btLr"/>
            <w:hideMark/>
          </w:tcPr>
          <w:p w:rsidR="0011447A" w:rsidRPr="005A316C" w:rsidRDefault="0011447A" w:rsidP="008B74DC">
            <w:pPr>
              <w:pStyle w:val="aa"/>
              <w:ind w:left="113" w:right="113"/>
            </w:pPr>
            <w:r w:rsidRPr="005A316C">
              <w:t>Расходы на НИОКР</w:t>
            </w:r>
            <w:r w:rsidRPr="005A316C">
              <w:br/>
              <w:t>в 2016 году (в млрд долл. США)</w:t>
            </w:r>
          </w:p>
        </w:tc>
        <w:tc>
          <w:tcPr>
            <w:tcW w:w="1114" w:type="dxa"/>
            <w:textDirection w:val="btLr"/>
            <w:hideMark/>
          </w:tcPr>
          <w:p w:rsidR="0011447A" w:rsidRPr="005A316C" w:rsidRDefault="0011447A" w:rsidP="008B74DC">
            <w:pPr>
              <w:pStyle w:val="aa"/>
              <w:ind w:left="113" w:right="113"/>
            </w:pPr>
            <w:r w:rsidRPr="005A316C">
              <w:t>Наукоемкость</w:t>
            </w:r>
          </w:p>
        </w:tc>
      </w:tr>
      <w:tr w:rsidR="0011447A" w:rsidRPr="005A316C" w:rsidTr="008B74DC">
        <w:tc>
          <w:tcPr>
            <w:tcW w:w="2343" w:type="dxa"/>
            <w:hideMark/>
          </w:tcPr>
          <w:p w:rsidR="0011447A" w:rsidRPr="005A316C" w:rsidRDefault="0011447A" w:rsidP="008B74DC">
            <w:pPr>
              <w:pStyle w:val="aa"/>
            </w:pPr>
            <w:r w:rsidRPr="005A316C">
              <w:t>1-е место</w:t>
            </w:r>
          </w:p>
        </w:tc>
        <w:tc>
          <w:tcPr>
            <w:tcW w:w="1800" w:type="dxa"/>
            <w:hideMark/>
          </w:tcPr>
          <w:p w:rsidR="0011447A" w:rsidRPr="005A316C" w:rsidRDefault="0011447A" w:rsidP="008B74DC">
            <w:pPr>
              <w:pStyle w:val="aa"/>
            </w:pPr>
            <w:r w:rsidRPr="005A316C">
              <w:t>Apple Inc.</w:t>
            </w:r>
          </w:p>
        </w:tc>
        <w:tc>
          <w:tcPr>
            <w:tcW w:w="1026" w:type="dxa"/>
            <w:hideMark/>
          </w:tcPr>
          <w:p w:rsidR="0011447A" w:rsidRPr="005A316C" w:rsidRDefault="0011447A" w:rsidP="008B74DC">
            <w:pPr>
              <w:pStyle w:val="aa"/>
            </w:pPr>
            <w:r w:rsidRPr="005A316C">
              <w:t>8,1</w:t>
            </w:r>
          </w:p>
        </w:tc>
        <w:tc>
          <w:tcPr>
            <w:tcW w:w="944" w:type="dxa"/>
            <w:hideMark/>
          </w:tcPr>
          <w:p w:rsidR="0011447A" w:rsidRPr="005A316C" w:rsidRDefault="0011447A" w:rsidP="008B74DC">
            <w:pPr>
              <w:pStyle w:val="aa"/>
            </w:pPr>
            <w:r w:rsidRPr="005A316C">
              <w:t>3,5 %</w:t>
            </w:r>
          </w:p>
        </w:tc>
        <w:tc>
          <w:tcPr>
            <w:tcW w:w="1445" w:type="dxa"/>
            <w:hideMark/>
          </w:tcPr>
          <w:p w:rsidR="0011447A" w:rsidRPr="005A316C" w:rsidRDefault="0011447A" w:rsidP="008B74DC">
            <w:pPr>
              <w:pStyle w:val="aa"/>
            </w:pPr>
            <w:r w:rsidRPr="005A316C">
              <w:t>Volkswagen AG</w:t>
            </w:r>
          </w:p>
        </w:tc>
        <w:tc>
          <w:tcPr>
            <w:tcW w:w="1026" w:type="dxa"/>
            <w:hideMark/>
          </w:tcPr>
          <w:p w:rsidR="0011447A" w:rsidRPr="005A316C" w:rsidRDefault="0011447A" w:rsidP="008B74DC">
            <w:pPr>
              <w:pStyle w:val="aa"/>
            </w:pPr>
            <w:r w:rsidRPr="005A316C">
              <w:t>13,2</w:t>
            </w:r>
          </w:p>
        </w:tc>
        <w:tc>
          <w:tcPr>
            <w:tcW w:w="1114" w:type="dxa"/>
            <w:hideMark/>
          </w:tcPr>
          <w:p w:rsidR="0011447A" w:rsidRPr="005A316C" w:rsidRDefault="0011447A" w:rsidP="008B74DC">
            <w:pPr>
              <w:pStyle w:val="aa"/>
            </w:pPr>
            <w:r w:rsidRPr="005A316C">
              <w:t>5,6 %</w:t>
            </w:r>
          </w:p>
        </w:tc>
      </w:tr>
      <w:tr w:rsidR="0011447A" w:rsidRPr="005A316C" w:rsidTr="008B74DC">
        <w:tc>
          <w:tcPr>
            <w:tcW w:w="2343" w:type="dxa"/>
            <w:hideMark/>
          </w:tcPr>
          <w:p w:rsidR="0011447A" w:rsidRPr="005A316C" w:rsidRDefault="0011447A" w:rsidP="008B74DC">
            <w:pPr>
              <w:pStyle w:val="aa"/>
            </w:pPr>
            <w:r w:rsidRPr="005A316C">
              <w:t>2-е место</w:t>
            </w:r>
          </w:p>
        </w:tc>
        <w:tc>
          <w:tcPr>
            <w:tcW w:w="1800" w:type="dxa"/>
            <w:hideMark/>
          </w:tcPr>
          <w:p w:rsidR="0011447A" w:rsidRPr="005A316C" w:rsidRDefault="0011447A" w:rsidP="008B74DC">
            <w:pPr>
              <w:pStyle w:val="aa"/>
            </w:pPr>
            <w:r w:rsidRPr="005A316C">
              <w:t>Alphabet Inc.</w:t>
            </w:r>
          </w:p>
        </w:tc>
        <w:tc>
          <w:tcPr>
            <w:tcW w:w="1026" w:type="dxa"/>
            <w:hideMark/>
          </w:tcPr>
          <w:p w:rsidR="0011447A" w:rsidRPr="005A316C" w:rsidRDefault="0011447A" w:rsidP="008B74DC">
            <w:pPr>
              <w:pStyle w:val="aa"/>
            </w:pPr>
            <w:r w:rsidRPr="005A316C">
              <w:t>12,3</w:t>
            </w:r>
          </w:p>
        </w:tc>
        <w:tc>
          <w:tcPr>
            <w:tcW w:w="944" w:type="dxa"/>
            <w:hideMark/>
          </w:tcPr>
          <w:p w:rsidR="0011447A" w:rsidRPr="005A316C" w:rsidRDefault="0011447A" w:rsidP="008B74DC">
            <w:pPr>
              <w:pStyle w:val="aa"/>
            </w:pPr>
            <w:r w:rsidRPr="005A316C">
              <w:t>16,4 %</w:t>
            </w:r>
          </w:p>
        </w:tc>
        <w:tc>
          <w:tcPr>
            <w:tcW w:w="1445" w:type="dxa"/>
            <w:hideMark/>
          </w:tcPr>
          <w:p w:rsidR="0011447A" w:rsidRPr="005A316C" w:rsidRDefault="0011447A" w:rsidP="008B74DC">
            <w:pPr>
              <w:pStyle w:val="aa"/>
            </w:pPr>
            <w:r w:rsidRPr="005A316C">
              <w:t>Samsung Electronics Co Ltd</w:t>
            </w:r>
          </w:p>
        </w:tc>
        <w:tc>
          <w:tcPr>
            <w:tcW w:w="1026" w:type="dxa"/>
            <w:hideMark/>
          </w:tcPr>
          <w:p w:rsidR="0011447A" w:rsidRPr="005A316C" w:rsidRDefault="0011447A" w:rsidP="008B74DC">
            <w:pPr>
              <w:pStyle w:val="aa"/>
            </w:pPr>
            <w:r w:rsidRPr="005A316C">
              <w:t>12,7</w:t>
            </w:r>
          </w:p>
        </w:tc>
        <w:tc>
          <w:tcPr>
            <w:tcW w:w="1114" w:type="dxa"/>
            <w:hideMark/>
          </w:tcPr>
          <w:p w:rsidR="0011447A" w:rsidRPr="005A316C" w:rsidRDefault="0011447A" w:rsidP="008B74DC">
            <w:pPr>
              <w:pStyle w:val="aa"/>
            </w:pPr>
            <w:r w:rsidRPr="005A316C">
              <w:t>7,2 %</w:t>
            </w:r>
          </w:p>
        </w:tc>
      </w:tr>
      <w:tr w:rsidR="0011447A" w:rsidRPr="005A316C" w:rsidTr="008B74DC">
        <w:tc>
          <w:tcPr>
            <w:tcW w:w="2343" w:type="dxa"/>
            <w:hideMark/>
          </w:tcPr>
          <w:p w:rsidR="0011447A" w:rsidRPr="005A316C" w:rsidRDefault="0011447A" w:rsidP="008B74DC">
            <w:pPr>
              <w:pStyle w:val="aa"/>
            </w:pPr>
            <w:r w:rsidRPr="005A316C">
              <w:t>3-е место</w:t>
            </w:r>
          </w:p>
        </w:tc>
        <w:tc>
          <w:tcPr>
            <w:tcW w:w="1800" w:type="dxa"/>
            <w:hideMark/>
          </w:tcPr>
          <w:p w:rsidR="0011447A" w:rsidRPr="005A316C" w:rsidRDefault="0011447A" w:rsidP="008B74DC">
            <w:pPr>
              <w:pStyle w:val="aa"/>
            </w:pPr>
            <w:r w:rsidRPr="005A316C">
              <w:t>3M Co.</w:t>
            </w:r>
          </w:p>
        </w:tc>
        <w:tc>
          <w:tcPr>
            <w:tcW w:w="1026" w:type="dxa"/>
            <w:hideMark/>
          </w:tcPr>
          <w:p w:rsidR="0011447A" w:rsidRPr="005A316C" w:rsidRDefault="0011447A" w:rsidP="008B74DC">
            <w:pPr>
              <w:pStyle w:val="aa"/>
            </w:pPr>
            <w:r w:rsidRPr="005A316C">
              <w:t>1,8</w:t>
            </w:r>
          </w:p>
        </w:tc>
        <w:tc>
          <w:tcPr>
            <w:tcW w:w="944" w:type="dxa"/>
            <w:hideMark/>
          </w:tcPr>
          <w:p w:rsidR="0011447A" w:rsidRPr="005A316C" w:rsidRDefault="0011447A" w:rsidP="008B74DC">
            <w:pPr>
              <w:pStyle w:val="aa"/>
            </w:pPr>
            <w:r w:rsidRPr="005A316C">
              <w:t>5,8 %</w:t>
            </w:r>
          </w:p>
        </w:tc>
        <w:tc>
          <w:tcPr>
            <w:tcW w:w="1445" w:type="dxa"/>
            <w:hideMark/>
          </w:tcPr>
          <w:p w:rsidR="0011447A" w:rsidRPr="005A316C" w:rsidRDefault="0011447A" w:rsidP="008B74DC">
            <w:pPr>
              <w:pStyle w:val="aa"/>
            </w:pPr>
            <w:r w:rsidRPr="005A316C">
              <w:t>Amazon.com Inc.</w:t>
            </w:r>
          </w:p>
        </w:tc>
        <w:tc>
          <w:tcPr>
            <w:tcW w:w="1026" w:type="dxa"/>
            <w:hideMark/>
          </w:tcPr>
          <w:p w:rsidR="0011447A" w:rsidRPr="005A316C" w:rsidRDefault="0011447A" w:rsidP="008B74DC">
            <w:pPr>
              <w:pStyle w:val="aa"/>
            </w:pPr>
            <w:r w:rsidRPr="005A316C">
              <w:t>12,5</w:t>
            </w:r>
          </w:p>
        </w:tc>
        <w:tc>
          <w:tcPr>
            <w:tcW w:w="1114" w:type="dxa"/>
            <w:hideMark/>
          </w:tcPr>
          <w:p w:rsidR="0011447A" w:rsidRPr="005A316C" w:rsidRDefault="0011447A" w:rsidP="008B74DC">
            <w:pPr>
              <w:pStyle w:val="aa"/>
            </w:pPr>
            <w:r w:rsidRPr="005A316C">
              <w:t>11,7 %</w:t>
            </w:r>
          </w:p>
        </w:tc>
      </w:tr>
      <w:tr w:rsidR="0011447A" w:rsidRPr="005A316C" w:rsidTr="008B74DC">
        <w:tc>
          <w:tcPr>
            <w:tcW w:w="2343" w:type="dxa"/>
            <w:hideMark/>
          </w:tcPr>
          <w:p w:rsidR="0011447A" w:rsidRPr="005A316C" w:rsidRDefault="0011447A" w:rsidP="008B74DC">
            <w:pPr>
              <w:pStyle w:val="aa"/>
            </w:pPr>
            <w:r w:rsidRPr="005A316C">
              <w:t>4-е место</w:t>
            </w:r>
          </w:p>
        </w:tc>
        <w:tc>
          <w:tcPr>
            <w:tcW w:w="1800" w:type="dxa"/>
            <w:hideMark/>
          </w:tcPr>
          <w:p w:rsidR="0011447A" w:rsidRPr="005A316C" w:rsidRDefault="0011447A" w:rsidP="008B74DC">
            <w:pPr>
              <w:pStyle w:val="aa"/>
            </w:pPr>
            <w:r w:rsidRPr="005A316C">
              <w:t>Tesla Motors Inc.</w:t>
            </w:r>
          </w:p>
        </w:tc>
        <w:tc>
          <w:tcPr>
            <w:tcW w:w="1026" w:type="dxa"/>
            <w:hideMark/>
          </w:tcPr>
          <w:p w:rsidR="0011447A" w:rsidRPr="005A316C" w:rsidRDefault="0011447A" w:rsidP="008B74DC">
            <w:pPr>
              <w:pStyle w:val="aa"/>
            </w:pPr>
            <w:r w:rsidRPr="005A316C">
              <w:t>0,7</w:t>
            </w:r>
          </w:p>
        </w:tc>
        <w:tc>
          <w:tcPr>
            <w:tcW w:w="944" w:type="dxa"/>
            <w:hideMark/>
          </w:tcPr>
          <w:p w:rsidR="0011447A" w:rsidRPr="005A316C" w:rsidRDefault="0011447A" w:rsidP="008B74DC">
            <w:pPr>
              <w:pStyle w:val="aa"/>
            </w:pPr>
            <w:r w:rsidRPr="005A316C">
              <w:t>17,7 %</w:t>
            </w:r>
          </w:p>
        </w:tc>
        <w:tc>
          <w:tcPr>
            <w:tcW w:w="1445" w:type="dxa"/>
            <w:hideMark/>
          </w:tcPr>
          <w:p w:rsidR="0011447A" w:rsidRPr="005A316C" w:rsidRDefault="0011447A" w:rsidP="008B74DC">
            <w:pPr>
              <w:pStyle w:val="aa"/>
            </w:pPr>
            <w:r w:rsidRPr="005A316C">
              <w:t>Alphabet Inc.</w:t>
            </w:r>
          </w:p>
        </w:tc>
        <w:tc>
          <w:tcPr>
            <w:tcW w:w="1026" w:type="dxa"/>
            <w:hideMark/>
          </w:tcPr>
          <w:p w:rsidR="0011447A" w:rsidRPr="005A316C" w:rsidRDefault="0011447A" w:rsidP="008B74DC">
            <w:pPr>
              <w:pStyle w:val="aa"/>
            </w:pPr>
            <w:r w:rsidRPr="005A316C">
              <w:t>12,3</w:t>
            </w:r>
          </w:p>
        </w:tc>
        <w:tc>
          <w:tcPr>
            <w:tcW w:w="1114" w:type="dxa"/>
            <w:hideMark/>
          </w:tcPr>
          <w:p w:rsidR="0011447A" w:rsidRPr="005A316C" w:rsidRDefault="0011447A" w:rsidP="008B74DC">
            <w:pPr>
              <w:pStyle w:val="aa"/>
            </w:pPr>
            <w:r w:rsidRPr="005A316C">
              <w:t>16,4 %</w:t>
            </w:r>
          </w:p>
        </w:tc>
      </w:tr>
      <w:tr w:rsidR="0011447A" w:rsidRPr="005A316C" w:rsidTr="008B74DC">
        <w:tc>
          <w:tcPr>
            <w:tcW w:w="2343" w:type="dxa"/>
            <w:hideMark/>
          </w:tcPr>
          <w:p w:rsidR="0011447A" w:rsidRPr="005A316C" w:rsidRDefault="0011447A" w:rsidP="008B74DC">
            <w:pPr>
              <w:pStyle w:val="aa"/>
            </w:pPr>
            <w:r w:rsidRPr="005A316C">
              <w:t>5-е место</w:t>
            </w:r>
          </w:p>
        </w:tc>
        <w:tc>
          <w:tcPr>
            <w:tcW w:w="1800" w:type="dxa"/>
            <w:hideMark/>
          </w:tcPr>
          <w:p w:rsidR="0011447A" w:rsidRPr="005A316C" w:rsidRDefault="0011447A" w:rsidP="008B74DC">
            <w:pPr>
              <w:pStyle w:val="aa"/>
            </w:pPr>
            <w:r w:rsidRPr="005A316C">
              <w:t>Amazon.com Inc.</w:t>
            </w:r>
          </w:p>
        </w:tc>
        <w:tc>
          <w:tcPr>
            <w:tcW w:w="1026" w:type="dxa"/>
            <w:hideMark/>
          </w:tcPr>
          <w:p w:rsidR="0011447A" w:rsidRPr="005A316C" w:rsidRDefault="0011447A" w:rsidP="008B74DC">
            <w:pPr>
              <w:pStyle w:val="aa"/>
            </w:pPr>
            <w:r w:rsidRPr="005A316C">
              <w:t>12,5</w:t>
            </w:r>
          </w:p>
        </w:tc>
        <w:tc>
          <w:tcPr>
            <w:tcW w:w="944" w:type="dxa"/>
            <w:hideMark/>
          </w:tcPr>
          <w:p w:rsidR="0011447A" w:rsidRPr="005A316C" w:rsidRDefault="0011447A" w:rsidP="008B74DC">
            <w:pPr>
              <w:pStyle w:val="aa"/>
            </w:pPr>
            <w:r w:rsidRPr="005A316C">
              <w:t>11,7 %</w:t>
            </w:r>
          </w:p>
        </w:tc>
        <w:tc>
          <w:tcPr>
            <w:tcW w:w="1445" w:type="dxa"/>
            <w:hideMark/>
          </w:tcPr>
          <w:p w:rsidR="0011447A" w:rsidRPr="005A316C" w:rsidRDefault="0011447A" w:rsidP="008B74DC">
            <w:pPr>
              <w:pStyle w:val="aa"/>
            </w:pPr>
            <w:r w:rsidRPr="005A316C">
              <w:t>Intel Corp</w:t>
            </w:r>
          </w:p>
        </w:tc>
        <w:tc>
          <w:tcPr>
            <w:tcW w:w="1026" w:type="dxa"/>
            <w:hideMark/>
          </w:tcPr>
          <w:p w:rsidR="0011447A" w:rsidRPr="005A316C" w:rsidRDefault="0011447A" w:rsidP="008B74DC">
            <w:pPr>
              <w:pStyle w:val="aa"/>
            </w:pPr>
            <w:r w:rsidRPr="005A316C">
              <w:t>12,1</w:t>
            </w:r>
          </w:p>
        </w:tc>
        <w:tc>
          <w:tcPr>
            <w:tcW w:w="1114" w:type="dxa"/>
            <w:hideMark/>
          </w:tcPr>
          <w:p w:rsidR="0011447A" w:rsidRPr="005A316C" w:rsidRDefault="0011447A" w:rsidP="008B74DC">
            <w:pPr>
              <w:pStyle w:val="aa"/>
            </w:pPr>
            <w:r w:rsidRPr="005A316C">
              <w:t>21,9 %</w:t>
            </w:r>
          </w:p>
        </w:tc>
      </w:tr>
      <w:tr w:rsidR="0011447A" w:rsidRPr="005A316C" w:rsidTr="008B74DC">
        <w:tc>
          <w:tcPr>
            <w:tcW w:w="2343" w:type="dxa"/>
            <w:hideMark/>
          </w:tcPr>
          <w:p w:rsidR="0011447A" w:rsidRPr="005A316C" w:rsidRDefault="0011447A" w:rsidP="008B74DC">
            <w:pPr>
              <w:pStyle w:val="aa"/>
            </w:pPr>
            <w:r w:rsidRPr="005A316C">
              <w:t>6-е место</w:t>
            </w:r>
          </w:p>
        </w:tc>
        <w:tc>
          <w:tcPr>
            <w:tcW w:w="1800" w:type="dxa"/>
            <w:hideMark/>
          </w:tcPr>
          <w:p w:rsidR="0011447A" w:rsidRPr="005A316C" w:rsidRDefault="0011447A" w:rsidP="008B74DC">
            <w:pPr>
              <w:pStyle w:val="aa"/>
            </w:pPr>
            <w:r w:rsidRPr="005A316C">
              <w:t>Samsung Electronics</w:t>
            </w:r>
            <w:r w:rsidRPr="005A316C">
              <w:br/>
              <w:t>Co Ltd</w:t>
            </w:r>
          </w:p>
        </w:tc>
        <w:tc>
          <w:tcPr>
            <w:tcW w:w="1026" w:type="dxa"/>
            <w:hideMark/>
          </w:tcPr>
          <w:p w:rsidR="0011447A" w:rsidRPr="005A316C" w:rsidRDefault="0011447A" w:rsidP="008B74DC">
            <w:pPr>
              <w:pStyle w:val="aa"/>
            </w:pPr>
            <w:r w:rsidRPr="005A316C">
              <w:t>12,7</w:t>
            </w:r>
          </w:p>
        </w:tc>
        <w:tc>
          <w:tcPr>
            <w:tcW w:w="944" w:type="dxa"/>
            <w:hideMark/>
          </w:tcPr>
          <w:p w:rsidR="0011447A" w:rsidRPr="005A316C" w:rsidRDefault="0011447A" w:rsidP="008B74DC">
            <w:pPr>
              <w:pStyle w:val="aa"/>
            </w:pPr>
            <w:r w:rsidRPr="005A316C">
              <w:t>7,2 %</w:t>
            </w:r>
          </w:p>
        </w:tc>
        <w:tc>
          <w:tcPr>
            <w:tcW w:w="1445" w:type="dxa"/>
            <w:hideMark/>
          </w:tcPr>
          <w:p w:rsidR="0011447A" w:rsidRPr="005A316C" w:rsidRDefault="0011447A" w:rsidP="008B74DC">
            <w:pPr>
              <w:pStyle w:val="aa"/>
            </w:pPr>
            <w:r w:rsidRPr="005A316C">
              <w:t>Microsoft Corp</w:t>
            </w:r>
          </w:p>
        </w:tc>
        <w:tc>
          <w:tcPr>
            <w:tcW w:w="1026" w:type="dxa"/>
            <w:hideMark/>
          </w:tcPr>
          <w:p w:rsidR="0011447A" w:rsidRPr="005A316C" w:rsidRDefault="0011447A" w:rsidP="008B74DC">
            <w:pPr>
              <w:pStyle w:val="aa"/>
            </w:pPr>
            <w:r w:rsidRPr="005A316C">
              <w:t>12,0</w:t>
            </w:r>
          </w:p>
        </w:tc>
        <w:tc>
          <w:tcPr>
            <w:tcW w:w="1114" w:type="dxa"/>
            <w:hideMark/>
          </w:tcPr>
          <w:p w:rsidR="0011447A" w:rsidRPr="005A316C" w:rsidRDefault="0011447A" w:rsidP="008B74DC">
            <w:pPr>
              <w:pStyle w:val="aa"/>
            </w:pPr>
            <w:r w:rsidRPr="005A316C">
              <w:t>12,9 %</w:t>
            </w:r>
          </w:p>
        </w:tc>
      </w:tr>
      <w:tr w:rsidR="0011447A" w:rsidRPr="005A316C" w:rsidTr="008B74DC">
        <w:tc>
          <w:tcPr>
            <w:tcW w:w="2343" w:type="dxa"/>
            <w:hideMark/>
          </w:tcPr>
          <w:p w:rsidR="0011447A" w:rsidRPr="005A316C" w:rsidRDefault="0011447A" w:rsidP="008B74DC">
            <w:pPr>
              <w:pStyle w:val="aa"/>
            </w:pPr>
            <w:r w:rsidRPr="005A316C">
              <w:t>7-е место</w:t>
            </w:r>
          </w:p>
        </w:tc>
        <w:tc>
          <w:tcPr>
            <w:tcW w:w="1800" w:type="dxa"/>
            <w:hideMark/>
          </w:tcPr>
          <w:p w:rsidR="0011447A" w:rsidRPr="005A316C" w:rsidRDefault="0011447A" w:rsidP="008B74DC">
            <w:pPr>
              <w:pStyle w:val="aa"/>
            </w:pPr>
            <w:r w:rsidRPr="005A316C">
              <w:t>Facebook Inc.</w:t>
            </w:r>
          </w:p>
        </w:tc>
        <w:tc>
          <w:tcPr>
            <w:tcW w:w="1026" w:type="dxa"/>
            <w:hideMark/>
          </w:tcPr>
          <w:p w:rsidR="0011447A" w:rsidRPr="005A316C" w:rsidRDefault="0011447A" w:rsidP="008B74DC">
            <w:pPr>
              <w:pStyle w:val="aa"/>
            </w:pPr>
            <w:r w:rsidRPr="005A316C">
              <w:t>4,8</w:t>
            </w:r>
          </w:p>
        </w:tc>
        <w:tc>
          <w:tcPr>
            <w:tcW w:w="944" w:type="dxa"/>
            <w:hideMark/>
          </w:tcPr>
          <w:p w:rsidR="0011447A" w:rsidRPr="005A316C" w:rsidRDefault="0011447A" w:rsidP="008B74DC">
            <w:pPr>
              <w:pStyle w:val="aa"/>
            </w:pPr>
            <w:r w:rsidRPr="005A316C">
              <w:t>26,9 %</w:t>
            </w:r>
          </w:p>
        </w:tc>
        <w:tc>
          <w:tcPr>
            <w:tcW w:w="1445" w:type="dxa"/>
            <w:hideMark/>
          </w:tcPr>
          <w:p w:rsidR="0011447A" w:rsidRPr="005A316C" w:rsidRDefault="0011447A" w:rsidP="008B74DC">
            <w:pPr>
              <w:pStyle w:val="aa"/>
            </w:pPr>
            <w:r w:rsidRPr="005A316C">
              <w:t>Roche Holding AG</w:t>
            </w:r>
          </w:p>
        </w:tc>
        <w:tc>
          <w:tcPr>
            <w:tcW w:w="1026" w:type="dxa"/>
            <w:hideMark/>
          </w:tcPr>
          <w:p w:rsidR="0011447A" w:rsidRPr="005A316C" w:rsidRDefault="0011447A" w:rsidP="008B74DC">
            <w:pPr>
              <w:pStyle w:val="aa"/>
            </w:pPr>
            <w:r w:rsidRPr="005A316C">
              <w:t>10,0</w:t>
            </w:r>
          </w:p>
        </w:tc>
        <w:tc>
          <w:tcPr>
            <w:tcW w:w="1114" w:type="dxa"/>
            <w:hideMark/>
          </w:tcPr>
          <w:p w:rsidR="0011447A" w:rsidRPr="005A316C" w:rsidRDefault="0011447A" w:rsidP="008B74DC">
            <w:pPr>
              <w:pStyle w:val="aa"/>
            </w:pPr>
            <w:r w:rsidRPr="005A316C">
              <w:t>19,9 %</w:t>
            </w:r>
          </w:p>
        </w:tc>
      </w:tr>
      <w:tr w:rsidR="0011447A" w:rsidRPr="005A316C" w:rsidTr="008B74DC">
        <w:tc>
          <w:tcPr>
            <w:tcW w:w="2343" w:type="dxa"/>
            <w:hideMark/>
          </w:tcPr>
          <w:p w:rsidR="0011447A" w:rsidRPr="005A316C" w:rsidRDefault="0011447A" w:rsidP="008B74DC">
            <w:pPr>
              <w:pStyle w:val="aa"/>
            </w:pPr>
            <w:r w:rsidRPr="005A316C">
              <w:t>8-е место</w:t>
            </w:r>
          </w:p>
        </w:tc>
        <w:tc>
          <w:tcPr>
            <w:tcW w:w="1800" w:type="dxa"/>
            <w:hideMark/>
          </w:tcPr>
          <w:p w:rsidR="0011447A" w:rsidRPr="005A316C" w:rsidRDefault="0011447A" w:rsidP="008B74DC">
            <w:pPr>
              <w:pStyle w:val="aa"/>
            </w:pPr>
            <w:r w:rsidRPr="005A316C">
              <w:t>Microsoft Corp</w:t>
            </w:r>
          </w:p>
        </w:tc>
        <w:tc>
          <w:tcPr>
            <w:tcW w:w="1026" w:type="dxa"/>
            <w:hideMark/>
          </w:tcPr>
          <w:p w:rsidR="0011447A" w:rsidRPr="005A316C" w:rsidRDefault="0011447A" w:rsidP="008B74DC">
            <w:pPr>
              <w:pStyle w:val="aa"/>
            </w:pPr>
            <w:r w:rsidRPr="005A316C">
              <w:t>12,0</w:t>
            </w:r>
          </w:p>
        </w:tc>
        <w:tc>
          <w:tcPr>
            <w:tcW w:w="944" w:type="dxa"/>
            <w:hideMark/>
          </w:tcPr>
          <w:p w:rsidR="0011447A" w:rsidRPr="005A316C" w:rsidRDefault="0011447A" w:rsidP="008B74DC">
            <w:pPr>
              <w:pStyle w:val="aa"/>
            </w:pPr>
            <w:r w:rsidRPr="005A316C">
              <w:t>12,9 %</w:t>
            </w:r>
          </w:p>
        </w:tc>
        <w:tc>
          <w:tcPr>
            <w:tcW w:w="1445" w:type="dxa"/>
            <w:hideMark/>
          </w:tcPr>
          <w:p w:rsidR="0011447A" w:rsidRPr="005A316C" w:rsidRDefault="0011447A" w:rsidP="008B74DC">
            <w:pPr>
              <w:pStyle w:val="aa"/>
            </w:pPr>
            <w:r w:rsidRPr="005A316C">
              <w:t>Novartis AG</w:t>
            </w:r>
          </w:p>
        </w:tc>
        <w:tc>
          <w:tcPr>
            <w:tcW w:w="1026" w:type="dxa"/>
            <w:hideMark/>
          </w:tcPr>
          <w:p w:rsidR="0011447A" w:rsidRPr="005A316C" w:rsidRDefault="0011447A" w:rsidP="008B74DC">
            <w:pPr>
              <w:pStyle w:val="aa"/>
            </w:pPr>
            <w:r w:rsidRPr="005A316C">
              <w:t>9,5</w:t>
            </w:r>
          </w:p>
        </w:tc>
        <w:tc>
          <w:tcPr>
            <w:tcW w:w="1114" w:type="dxa"/>
            <w:hideMark/>
          </w:tcPr>
          <w:p w:rsidR="0011447A" w:rsidRPr="005A316C" w:rsidRDefault="0011447A" w:rsidP="008B74DC">
            <w:pPr>
              <w:pStyle w:val="aa"/>
            </w:pPr>
            <w:r w:rsidRPr="005A316C">
              <w:t>19,2 %</w:t>
            </w:r>
          </w:p>
        </w:tc>
      </w:tr>
      <w:tr w:rsidR="0011447A" w:rsidRPr="005A316C" w:rsidTr="008B74DC">
        <w:tc>
          <w:tcPr>
            <w:tcW w:w="2343" w:type="dxa"/>
            <w:hideMark/>
          </w:tcPr>
          <w:p w:rsidR="0011447A" w:rsidRPr="005A316C" w:rsidRDefault="0011447A" w:rsidP="008B74DC">
            <w:pPr>
              <w:pStyle w:val="aa"/>
            </w:pPr>
            <w:r w:rsidRPr="005A316C">
              <w:t>9-е место</w:t>
            </w:r>
          </w:p>
        </w:tc>
        <w:tc>
          <w:tcPr>
            <w:tcW w:w="1800" w:type="dxa"/>
            <w:hideMark/>
          </w:tcPr>
          <w:p w:rsidR="0011447A" w:rsidRPr="005A316C" w:rsidRDefault="0011447A" w:rsidP="008B74DC">
            <w:pPr>
              <w:pStyle w:val="aa"/>
            </w:pPr>
            <w:r w:rsidRPr="005A316C">
              <w:t>General</w:t>
            </w:r>
            <w:r w:rsidRPr="005A316C">
              <w:br/>
              <w:t>Electric Co</w:t>
            </w:r>
          </w:p>
        </w:tc>
        <w:tc>
          <w:tcPr>
            <w:tcW w:w="1026" w:type="dxa"/>
            <w:hideMark/>
          </w:tcPr>
          <w:p w:rsidR="0011447A" w:rsidRPr="005A316C" w:rsidRDefault="0011447A" w:rsidP="008B74DC">
            <w:pPr>
              <w:pStyle w:val="aa"/>
            </w:pPr>
            <w:r w:rsidRPr="005A316C">
              <w:t>4,2</w:t>
            </w:r>
          </w:p>
        </w:tc>
        <w:tc>
          <w:tcPr>
            <w:tcW w:w="944" w:type="dxa"/>
            <w:hideMark/>
          </w:tcPr>
          <w:p w:rsidR="0011447A" w:rsidRPr="005A316C" w:rsidRDefault="0011447A" w:rsidP="008B74DC">
            <w:pPr>
              <w:pStyle w:val="aa"/>
            </w:pPr>
            <w:r w:rsidRPr="005A316C">
              <w:t>3,7 %</w:t>
            </w:r>
          </w:p>
        </w:tc>
        <w:tc>
          <w:tcPr>
            <w:tcW w:w="1445" w:type="dxa"/>
            <w:hideMark/>
          </w:tcPr>
          <w:p w:rsidR="0011447A" w:rsidRPr="005A316C" w:rsidRDefault="0011447A" w:rsidP="008B74DC">
            <w:pPr>
              <w:pStyle w:val="aa"/>
            </w:pPr>
            <w:r w:rsidRPr="005A316C">
              <w:t>Johnson &amp; Johnson</w:t>
            </w:r>
          </w:p>
        </w:tc>
        <w:tc>
          <w:tcPr>
            <w:tcW w:w="1026" w:type="dxa"/>
            <w:hideMark/>
          </w:tcPr>
          <w:p w:rsidR="0011447A" w:rsidRPr="005A316C" w:rsidRDefault="0011447A" w:rsidP="008B74DC">
            <w:pPr>
              <w:pStyle w:val="aa"/>
            </w:pPr>
            <w:r w:rsidRPr="005A316C">
              <w:t>9,0</w:t>
            </w:r>
          </w:p>
        </w:tc>
        <w:tc>
          <w:tcPr>
            <w:tcW w:w="1114" w:type="dxa"/>
            <w:hideMark/>
          </w:tcPr>
          <w:p w:rsidR="0011447A" w:rsidRPr="005A316C" w:rsidRDefault="0011447A" w:rsidP="008B74DC">
            <w:pPr>
              <w:pStyle w:val="aa"/>
            </w:pPr>
            <w:r w:rsidRPr="005A316C">
              <w:t>12,9 %</w:t>
            </w:r>
          </w:p>
        </w:tc>
      </w:tr>
      <w:tr w:rsidR="0011447A" w:rsidRPr="005A316C" w:rsidTr="008B74DC">
        <w:tc>
          <w:tcPr>
            <w:tcW w:w="2343" w:type="dxa"/>
            <w:hideMark/>
          </w:tcPr>
          <w:p w:rsidR="0011447A" w:rsidRPr="005A316C" w:rsidRDefault="0011447A" w:rsidP="008B74DC">
            <w:pPr>
              <w:pStyle w:val="aa"/>
            </w:pPr>
            <w:r w:rsidRPr="005A316C">
              <w:t>10-е место</w:t>
            </w:r>
          </w:p>
        </w:tc>
        <w:tc>
          <w:tcPr>
            <w:tcW w:w="1800" w:type="dxa"/>
            <w:hideMark/>
          </w:tcPr>
          <w:p w:rsidR="0011447A" w:rsidRPr="005A316C" w:rsidRDefault="0011447A" w:rsidP="008B74DC">
            <w:pPr>
              <w:pStyle w:val="aa"/>
            </w:pPr>
            <w:r w:rsidRPr="005A316C">
              <w:t>International Business Machines Corp</w:t>
            </w:r>
          </w:p>
        </w:tc>
        <w:tc>
          <w:tcPr>
            <w:tcW w:w="1026" w:type="dxa"/>
            <w:hideMark/>
          </w:tcPr>
          <w:p w:rsidR="0011447A" w:rsidRPr="005A316C" w:rsidRDefault="0011447A" w:rsidP="008B74DC">
            <w:pPr>
              <w:pStyle w:val="aa"/>
            </w:pPr>
            <w:r w:rsidRPr="005A316C">
              <w:t>5,2</w:t>
            </w:r>
          </w:p>
        </w:tc>
        <w:tc>
          <w:tcPr>
            <w:tcW w:w="944" w:type="dxa"/>
            <w:hideMark/>
          </w:tcPr>
          <w:p w:rsidR="0011447A" w:rsidRPr="005A316C" w:rsidRDefault="0011447A" w:rsidP="008B74DC">
            <w:pPr>
              <w:pStyle w:val="aa"/>
            </w:pPr>
            <w:r w:rsidRPr="005A316C">
              <w:t>6,4 %</w:t>
            </w:r>
          </w:p>
        </w:tc>
        <w:tc>
          <w:tcPr>
            <w:tcW w:w="1445" w:type="dxa"/>
            <w:hideMark/>
          </w:tcPr>
          <w:p w:rsidR="0011447A" w:rsidRPr="005A316C" w:rsidRDefault="0011447A" w:rsidP="008B74DC">
            <w:pPr>
              <w:pStyle w:val="aa"/>
            </w:pPr>
            <w:r w:rsidRPr="005A316C">
              <w:t>Toyota Motor Corp</w:t>
            </w:r>
          </w:p>
        </w:tc>
        <w:tc>
          <w:tcPr>
            <w:tcW w:w="1026" w:type="dxa"/>
            <w:hideMark/>
          </w:tcPr>
          <w:p w:rsidR="0011447A" w:rsidRPr="005A316C" w:rsidRDefault="0011447A" w:rsidP="008B74DC">
            <w:pPr>
              <w:pStyle w:val="aa"/>
            </w:pPr>
            <w:r w:rsidRPr="005A316C">
              <w:t>8,8</w:t>
            </w:r>
          </w:p>
        </w:tc>
        <w:tc>
          <w:tcPr>
            <w:tcW w:w="1114" w:type="dxa"/>
            <w:hideMark/>
          </w:tcPr>
          <w:p w:rsidR="0011447A" w:rsidRPr="005A316C" w:rsidRDefault="0011447A" w:rsidP="008B74DC">
            <w:pPr>
              <w:pStyle w:val="aa"/>
            </w:pPr>
            <w:r w:rsidRPr="005A316C">
              <w:t>3,7 %</w:t>
            </w:r>
          </w:p>
        </w:tc>
      </w:tr>
    </w:tbl>
    <w:p w:rsidR="0011447A" w:rsidRDefault="0011447A" w:rsidP="0011447A">
      <w:pPr>
        <w:pStyle w:val="aa"/>
      </w:pPr>
      <w:r>
        <w:t>* В десятку наиболее инновационных компаний вошли компании, выбранные мировыми экспертами в области инноваций, которые приняли участие в исследовании 2016 года в роли респондентов.</w:t>
      </w:r>
    </w:p>
    <w:p w:rsidR="0011447A" w:rsidRDefault="0011447A" w:rsidP="0011447A"/>
    <w:p w:rsidR="0011447A" w:rsidRPr="00EC5962" w:rsidRDefault="0011447A" w:rsidP="0011447A">
      <w:r w:rsidRPr="00EC5962">
        <w:lastRenderedPageBreak/>
        <w:t>К высокотехнологичной продукции относятся промышленные</w:t>
      </w:r>
      <w:r>
        <w:t xml:space="preserve"> </w:t>
      </w:r>
      <w:r w:rsidRPr="00EC5962">
        <w:t>товары, созданные на основе НИОКР. Для их разработки необходимо задействовать как финансовые, так и человеческие ресурсы.</w:t>
      </w:r>
      <w:r>
        <w:t xml:space="preserve"> </w:t>
      </w:r>
    </w:p>
    <w:p w:rsidR="0011447A" w:rsidRPr="00EC5962" w:rsidRDefault="0011447A" w:rsidP="0011447A">
      <w:r w:rsidRPr="00EC5962">
        <w:t>По классификации Организации экономического сотрудничества</w:t>
      </w:r>
      <w:r>
        <w:t xml:space="preserve"> </w:t>
      </w:r>
      <w:r w:rsidRPr="00EC5962">
        <w:t>и развития (ОЭСР), к высоким технологиям относятся товары,</w:t>
      </w:r>
      <w:r>
        <w:t xml:space="preserve"> </w:t>
      </w:r>
      <w:r w:rsidRPr="00EC5962">
        <w:t>на производство которых потребовались инвестиции в НИОКР</w:t>
      </w:r>
      <w:r>
        <w:t xml:space="preserve">, </w:t>
      </w:r>
      <w:r w:rsidRPr="00EC5962">
        <w:t>превышающие 4 % от ежегодного оборота капитала отдельных</w:t>
      </w:r>
      <w:r>
        <w:t xml:space="preserve"> </w:t>
      </w:r>
      <w:r w:rsidRPr="00EC5962">
        <w:t>фирм или целой отрасли (в отдельных компаниях расходы на</w:t>
      </w:r>
      <w:r>
        <w:t xml:space="preserve"> </w:t>
      </w:r>
      <w:r w:rsidRPr="00EC5962">
        <w:t>НИОКР превышают 50 % от оборота капитала). Высокотехнологичными считаются такие отрасли промышленности как авиационно-ракетная, фармацевтика, электронная, приборостроение,</w:t>
      </w:r>
      <w:r>
        <w:t xml:space="preserve"> </w:t>
      </w:r>
      <w:r w:rsidRPr="00EC5962">
        <w:t>оптико-механика. С начала 1990-х гг. среди наукоемких и высокотехнологичных отраслей принято дополнительно выделять</w:t>
      </w:r>
      <w:r>
        <w:t xml:space="preserve"> </w:t>
      </w:r>
      <w:r w:rsidRPr="00EC5962">
        <w:t>так называемые ведущие наукоемкие технологии (leading edge).</w:t>
      </w:r>
      <w:r>
        <w:t xml:space="preserve"> </w:t>
      </w:r>
      <w:r w:rsidRPr="00EC5962">
        <w:t>В них включены прогрессивные продукты органической химии,</w:t>
      </w:r>
      <w:r>
        <w:t xml:space="preserve"> </w:t>
      </w:r>
      <w:r w:rsidRPr="00EC5962">
        <w:t>фармацевтическая продукция, химикаты для сельского хозяйства,</w:t>
      </w:r>
      <w:r>
        <w:t xml:space="preserve"> </w:t>
      </w:r>
      <w:r w:rsidRPr="00EC5962">
        <w:t>радиоактивные материалы, турбины и оборудование реакторов,</w:t>
      </w:r>
      <w:r>
        <w:t xml:space="preserve"> </w:t>
      </w:r>
      <w:r w:rsidRPr="00EC5962">
        <w:t>электронные приборы, авиационная и космическая техника и др.</w:t>
      </w:r>
      <w:r>
        <w:t xml:space="preserve"> </w:t>
      </w:r>
      <w:r w:rsidRPr="00EC5962">
        <w:t>Большая часть технологий этой группы производств поддерживается государством.</w:t>
      </w:r>
    </w:p>
    <w:p w:rsidR="0011447A" w:rsidRPr="00EC5962" w:rsidRDefault="0011447A" w:rsidP="0011447A">
      <w:r w:rsidRPr="00EC5962">
        <w:t>Наукоемкие отрасли и высокие технологии в настоящее время</w:t>
      </w:r>
      <w:r>
        <w:t xml:space="preserve"> </w:t>
      </w:r>
      <w:r w:rsidRPr="00EC5962">
        <w:t>играют главную роль в развитии экономики. В них материализуется основная часть результатов НИОКР, они определяют спрос</w:t>
      </w:r>
      <w:r>
        <w:t xml:space="preserve"> </w:t>
      </w:r>
      <w:r w:rsidRPr="00EC5962">
        <w:t>на достижения в исследованиях и создают базу предложения</w:t>
      </w:r>
      <w:r>
        <w:t xml:space="preserve"> </w:t>
      </w:r>
      <w:r w:rsidRPr="00EC5962">
        <w:t>материальных и информационных новшеств практически для</w:t>
      </w:r>
      <w:r>
        <w:t xml:space="preserve"> </w:t>
      </w:r>
      <w:r w:rsidRPr="00EC5962">
        <w:t>всех отраслей хозяйства. Размеры высокотехнологичного сектора и масштабы использования высокотехнологичной продукции характеризуют инновационный и экономический потенциал</w:t>
      </w:r>
      <w:r>
        <w:t xml:space="preserve"> </w:t>
      </w:r>
      <w:r w:rsidRPr="00EC5962">
        <w:t>страны. Результаты НИОКР, осуществляемые в высокотехнологичных отраслях, способствуют ускоренному развитию других</w:t>
      </w:r>
      <w:r>
        <w:t xml:space="preserve"> </w:t>
      </w:r>
      <w:r w:rsidRPr="00EC5962">
        <w:t>секторов экономики. По доле высокотехнологичных отраслей</w:t>
      </w:r>
      <w:r>
        <w:t xml:space="preserve"> </w:t>
      </w:r>
      <w:r w:rsidRPr="00EC5962">
        <w:t>в структуре ВВП страны или региона можно судить о развитии</w:t>
      </w:r>
      <w:r>
        <w:t xml:space="preserve"> </w:t>
      </w:r>
      <w:r w:rsidRPr="00EC5962">
        <w:t xml:space="preserve">ее инновационного сектора. Важным показателем является </w:t>
      </w:r>
      <w:r w:rsidRPr="00EC5962">
        <w:lastRenderedPageBreak/>
        <w:t>также</w:t>
      </w:r>
      <w:r>
        <w:t xml:space="preserve"> </w:t>
      </w:r>
      <w:r w:rsidRPr="00EC5962">
        <w:t>стоимость высокотехнологичного экспорта страны и его доля</w:t>
      </w:r>
      <w:r>
        <w:t xml:space="preserve"> </w:t>
      </w:r>
      <w:r w:rsidRPr="00EC5962">
        <w:t>в общем объеме экспорта промышленной продукции.</w:t>
      </w:r>
    </w:p>
    <w:p w:rsidR="0011447A" w:rsidRPr="00222233" w:rsidRDefault="0011447A" w:rsidP="0011447A">
      <w:r w:rsidRPr="00EC5962">
        <w:t>Удельный вес наукоемких и высокотехнологичных товаров</w:t>
      </w:r>
      <w:r>
        <w:t xml:space="preserve"> </w:t>
      </w:r>
      <w:r w:rsidRPr="00EC5962">
        <w:t>в промышленности большинства стран возрастает, вследствие</w:t>
      </w:r>
      <w:r>
        <w:t xml:space="preserve"> </w:t>
      </w:r>
      <w:r w:rsidRPr="00EC5962">
        <w:t>чего изменяется отраслевая структура хозяйства. Развитие высоких технологий приводит также к довольно быстрым изменениям</w:t>
      </w:r>
      <w:r>
        <w:t xml:space="preserve"> </w:t>
      </w:r>
      <w:r w:rsidRPr="00EC5962">
        <w:t>характера перевозимых грузов, то есть к изменениям товарной</w:t>
      </w:r>
      <w:r>
        <w:t xml:space="preserve"> </w:t>
      </w:r>
      <w:r w:rsidRPr="00222233">
        <w:t>структуры мирового рынка, отражающего приоритеты инновационной политики различных стран.</w:t>
      </w:r>
    </w:p>
    <w:p w:rsidR="0011447A" w:rsidRDefault="0011447A" w:rsidP="0011447A">
      <w:r w:rsidRPr="00222233">
        <w:t>Особенности территориального размещения производств наукоемкой и высокотехнологичной продукции демонстрирует их</w:t>
      </w:r>
      <w:r>
        <w:t xml:space="preserve"> </w:t>
      </w:r>
      <w:r w:rsidRPr="00222233">
        <w:t>сильную концентрацию в небольшой группе стран. По данным</w:t>
      </w:r>
      <w:r>
        <w:t xml:space="preserve"> </w:t>
      </w:r>
      <w:r w:rsidRPr="00222233">
        <w:t>ВТО, на 15 стран (ЕС рассматривается как один регион) приходится более 90 % экспорта высокотехнологичной продукции. В эту группу входят как развитые, так и развивающиеся страны. Крупными экспортерами наукоемкой и высокотехнологичной продукции являются промышленно</w:t>
      </w:r>
      <w:r>
        <w:t xml:space="preserve"> </w:t>
      </w:r>
      <w:r w:rsidRPr="00222233">
        <w:t>развитые страны (США, Япония, Великобритания), а также новые</w:t>
      </w:r>
      <w:r>
        <w:t xml:space="preserve"> </w:t>
      </w:r>
      <w:r w:rsidRPr="00222233">
        <w:t>индустриальные страны (Китай, Малайзия, Таиланд, Филиппины,</w:t>
      </w:r>
      <w:r>
        <w:t xml:space="preserve"> </w:t>
      </w:r>
      <w:r w:rsidRPr="00222233">
        <w:t>Индонезия). На долю развитых стран приходится 58 % мирового</w:t>
      </w:r>
      <w:r>
        <w:t xml:space="preserve"> </w:t>
      </w:r>
      <w:r w:rsidRPr="00222233">
        <w:t>экспорта продукции высокотехнологичного сектора. На развивающиеся — 40 %. Особенно высокую концентрацию развитых</w:t>
      </w:r>
      <w:r>
        <w:t xml:space="preserve"> </w:t>
      </w:r>
      <w:r w:rsidRPr="00222233">
        <w:t>стран можно наблюдать в экспорте аэрокосмической продукции</w:t>
      </w:r>
      <w:r>
        <w:t xml:space="preserve"> </w:t>
      </w:r>
      <w:r w:rsidRPr="00222233">
        <w:t>(93,7 %), фармацевтических препаратов (92,3 %), вооружений</w:t>
      </w:r>
      <w:r>
        <w:t xml:space="preserve"> </w:t>
      </w:r>
      <w:r w:rsidRPr="00222233">
        <w:t>(89,1 %). Доля новых индустриальных стран велика в экспорте</w:t>
      </w:r>
      <w:r>
        <w:t xml:space="preserve"> </w:t>
      </w:r>
      <w:r w:rsidRPr="00222233">
        <w:t>интегральных схем и электронных компонентов (69,2 %), компьютеров и офисного оборудования (63,5 %), телекоммуникационного</w:t>
      </w:r>
      <w:r>
        <w:t xml:space="preserve"> </w:t>
      </w:r>
      <w:r w:rsidRPr="00222233">
        <w:t>оборудования (62,3 %) [Ibid.]. Огромное значение сектор высоких технологий имеет в развивающихся странах Азии. Так, доля</w:t>
      </w:r>
      <w:r>
        <w:t xml:space="preserve"> </w:t>
      </w:r>
      <w:r w:rsidRPr="00222233">
        <w:t>высокотехнологичного телекоммуникационного и офисного оборудования составляет в товарном экспорте Китая 26 %, Малайзии — 27,5 %, Филиппин — 36,1 %. Как известно, развивающиеся</w:t>
      </w:r>
      <w:r>
        <w:t xml:space="preserve"> </w:t>
      </w:r>
      <w:r w:rsidRPr="00222233">
        <w:t xml:space="preserve">страны Азии служат «сборочными конвейерами» высокотехнологичных компаний развитых стран. Многие предприятия в азиатских странах интегрированы в глобальные </w:t>
      </w:r>
      <w:r w:rsidRPr="00222233">
        <w:lastRenderedPageBreak/>
        <w:t>производственные</w:t>
      </w:r>
      <w:r>
        <w:t xml:space="preserve"> </w:t>
      </w:r>
      <w:r w:rsidRPr="00222233">
        <w:t>сети. В международном разделении труда они специализируются</w:t>
      </w:r>
      <w:r>
        <w:t xml:space="preserve"> </w:t>
      </w:r>
      <w:r w:rsidRPr="00222233">
        <w:t>на производстве высокотехнологичных компонентов и последующем экспорте в места сборки конечной продукции. Поэтому не</w:t>
      </w:r>
      <w:r>
        <w:t xml:space="preserve"> </w:t>
      </w:r>
      <w:r w:rsidRPr="00222233">
        <w:t>случайно доля таких стран как Филиппины, Индонезия, Малайзия</w:t>
      </w:r>
      <w:r>
        <w:t xml:space="preserve"> </w:t>
      </w:r>
      <w:r w:rsidRPr="00222233">
        <w:t>в мировом экспорте электронного оборудования, телекоммуникаций превышает долю Великобритании, Франции, Италии и других</w:t>
      </w:r>
      <w:r>
        <w:t xml:space="preserve"> </w:t>
      </w:r>
      <w:r w:rsidRPr="00222233">
        <w:t xml:space="preserve">развитых стран. </w:t>
      </w:r>
    </w:p>
    <w:p w:rsidR="0011447A" w:rsidRDefault="0011447A" w:rsidP="0011447A">
      <w:r w:rsidRPr="00222233">
        <w:t>Инновационный процесс, включающий НИОКР,</w:t>
      </w:r>
      <w:r>
        <w:t xml:space="preserve"> </w:t>
      </w:r>
      <w:r w:rsidRPr="00EC3489">
        <w:t>концентрируется в развитых государствах. Таким образом, происходит все большее углубление специализации стран в выпуске</w:t>
      </w:r>
      <w:r>
        <w:t xml:space="preserve"> </w:t>
      </w:r>
      <w:r w:rsidRPr="00EC3489">
        <w:t>высокотехнологичной продукции, в котором развитым странам</w:t>
      </w:r>
      <w:r>
        <w:t xml:space="preserve"> </w:t>
      </w:r>
      <w:r w:rsidRPr="00EC3489">
        <w:t xml:space="preserve">отводятся роль создателей идей, инноваций, а развивающимся </w:t>
      </w:r>
      <w:r>
        <w:t xml:space="preserve">– </w:t>
      </w:r>
      <w:r w:rsidRPr="00EC3489">
        <w:t>их материальное воплощение и производство.</w:t>
      </w:r>
    </w:p>
    <w:p w:rsidR="00642361" w:rsidRDefault="00642361" w:rsidP="0011447A">
      <w:r>
        <w:t xml:space="preserve">В </w:t>
      </w:r>
      <w:r w:rsidRPr="00642361">
        <w:t xml:space="preserve">России одним из серьезных противоречий в институциональной среде инноваций является разомкнутость звеньев всей логической цепи трансфера инноваций. Зачастую фундаментальные исследования не переходят в категорию прикладных, прикладные исследования не всегда становятся опытно-конструкторскими разработками, которые, в свою очередь, не всегда трансформируются в результат производства (рис. </w:t>
      </w:r>
      <w:r>
        <w:t>3</w:t>
      </w:r>
      <w:r w:rsidRPr="00642361">
        <w:t>) [10].</w:t>
      </w:r>
    </w:p>
    <w:p w:rsidR="00642361" w:rsidRDefault="00642361" w:rsidP="00642361">
      <w:pPr>
        <w:ind w:firstLine="0"/>
        <w:jc w:val="center"/>
        <w:rPr>
          <w:b/>
        </w:rPr>
      </w:pPr>
      <w:r>
        <w:rPr>
          <w:noProof/>
          <w:lang w:eastAsia="ru-RU"/>
        </w:rPr>
        <w:drawing>
          <wp:inline distT="0" distB="0" distL="0" distR="0" wp14:anchorId="6521CAD7" wp14:editId="3571B0A3">
            <wp:extent cx="3390900" cy="27736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l="9614" t="19231" r="33334" b="22434"/>
                    <a:stretch/>
                  </pic:blipFill>
                  <pic:spPr bwMode="auto">
                    <a:xfrm>
                      <a:off x="0" y="0"/>
                      <a:ext cx="3389088" cy="27721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42361" w:rsidRDefault="00642361" w:rsidP="00642361">
      <w:r w:rsidRPr="00642361">
        <w:t xml:space="preserve">Рисунок </w:t>
      </w:r>
      <w:r>
        <w:t>3 –</w:t>
      </w:r>
      <w:r>
        <w:rPr>
          <w:b/>
          <w:bCs/>
        </w:rPr>
        <w:t xml:space="preserve"> </w:t>
      </w:r>
      <w:r>
        <w:t xml:space="preserve">Взаимосвязь между наукой и производством в России [10] </w:t>
      </w:r>
    </w:p>
    <w:p w:rsidR="00642361" w:rsidRDefault="00642361" w:rsidP="00642361"/>
    <w:p w:rsidR="00642361" w:rsidRDefault="00642361" w:rsidP="00642361">
      <w:r>
        <w:lastRenderedPageBreak/>
        <w:t xml:space="preserve">Это противоречие, безусловно, необходимо своевременно разрешать, дабы не допустить еще большего отставания России от ведущих стран мира. </w:t>
      </w:r>
    </w:p>
    <w:p w:rsidR="00642361" w:rsidRDefault="00642361" w:rsidP="00642361">
      <w:r>
        <w:t xml:space="preserve">Инновационная экономика базируется на новых знаниях и умениях, на новаторском мышлении и постоянном развитии интеллекта работников, на повышении уровня их компетентности и квалификации, на непрерывном технико-технологическом совершенствовании всей хозяйственной системы, каждого этапа (стадии) воспроизводства. </w:t>
      </w:r>
    </w:p>
    <w:p w:rsidR="00642361" w:rsidRDefault="00642361" w:rsidP="00642361">
      <w:r>
        <w:t xml:space="preserve">Здесь особо необходимо обозначить и подчеркнуть такой важный аспект в области инноваций как формирование инновационного мышления хозяйствующих субъектов. Все этапы воспроизводственного процесса, все его стороны – организационно-техническая, административная, инфокоммуникационная, снабженческая, инвестиционная, производственная, финансовая, сбытовая и другие – все должно быть «пронизано» идеями новаторства и прогресса. </w:t>
      </w:r>
    </w:p>
    <w:p w:rsidR="00FA4189" w:rsidRDefault="00642361" w:rsidP="00FA4189">
      <w:r>
        <w:t>Несомненно, полноценная реализация инновационных разработок невозможна без инвестиций. Поэтому по праву эти два явления – инновации и инвестиции в сознании людей зачастую осмысливаются совместно, неразрывно. При этом подчеркнем, что инновации – это средство достижения целей модернизации и экономического роста, а инвестиции выступают в качестве инструмента реализации инноваций, источника их финансирования, внедрения и воплощения их в жизнь. Роль инвестиций несомненна, поскольку без них любая идея и</w:t>
      </w:r>
      <w:r w:rsidR="00FA4189">
        <w:t xml:space="preserve"> разработка рискует «застопориться», «заморозиться» лишь в проектном, гипотетическом состоянии.</w:t>
      </w:r>
    </w:p>
    <w:p w:rsidR="00FA4189" w:rsidRDefault="00FA4189" w:rsidP="00FA4189">
      <w:r>
        <w:t xml:space="preserve">Россия в настоящее время испытывает острую необходимость активизации и интенсификации инновационной деятельности. По данным Росстата, на начало 2015 г. индикатор инновационной активности в целом по стране снизился до 10,1% по сравнению с 10,4% в 2013 г. [11, с. 149]. </w:t>
      </w:r>
    </w:p>
    <w:p w:rsidR="00FA4189" w:rsidRDefault="00FA4189" w:rsidP="00FA4189">
      <w:r>
        <w:t xml:space="preserve">Индикатор инновационной активности организаций – показатель, представляющий собой удельный вес организаций, осуществлявших технологические, организационные, маркетинговые инновации, в общем </w:t>
      </w:r>
      <w:r>
        <w:lastRenderedPageBreak/>
        <w:t xml:space="preserve">числе обследованных организаций. Иновационная активность организаций в российских регионах в последние годы имеет выраженную тенденцию к некоторому снижению. </w:t>
      </w:r>
    </w:p>
    <w:p w:rsidR="00FA4189" w:rsidRDefault="00FA4189" w:rsidP="00FA4189">
      <w:r>
        <w:t>Из числа российских федеральных округов лидером по индикатору инновационной активности является Приволжский федеральный округ: удельный вес организаций, осуществляющих технологические, организационные, маркетинговые инновации, в общем числе обследованных организаций, составил на начало 2015 г. 11,7%, в то время как в 2011 г. этот показатель был равен 12,3%.</w:t>
      </w:r>
    </w:p>
    <w:p w:rsidR="00FA4189" w:rsidRDefault="00FA4189" w:rsidP="00FA4189">
      <w:r>
        <w:t>На втором месте по данному показателю располагаются Центральный и Северо-Западный федеральные округа (по 10,7% соответственно), на третьем – Уральский федеральный округ (9,6%). Наименьшее значение данного показателя имеет Северо-Кавказский федеральный округ, где уровень инновационной активности составил на начало 2015 г. всего 5,9%.</w:t>
      </w:r>
    </w:p>
    <w:p w:rsidR="00FA4189" w:rsidRDefault="00FA4189" w:rsidP="00FA4189">
      <w:r>
        <w:t>Следующий важный показатель – коэффициент изобретательской активности (количество поданных патентных заявок в расчете на 10 тыс. чел. населения) – в среднем по России за отчетный период тоже несколько уступил свои позиции и составил на начало 2015 г. всего 1,65, когда в 2011 г. этот показатель составлял 2,01 единиц. В разрезе федеральных округов лидером по данному коэффициенту является Центральный федеральный округ, где на начало 2015 г. было подано 3,0 патентных заявки в расчете на 10 тыс. чел. населения. Отстающими по этому показателю являются Южный, Сибирский и Крымский федеральные округа (рис. 4).</w:t>
      </w:r>
    </w:p>
    <w:p w:rsidR="00FA4189" w:rsidRDefault="00FA4189" w:rsidP="00FA4189">
      <w:pPr>
        <w:rPr>
          <w:b/>
        </w:rPr>
      </w:pPr>
      <w:r>
        <w:rPr>
          <w:b/>
          <w:noProof/>
          <w:lang w:eastAsia="ru-RU"/>
        </w:rPr>
        <w:lastRenderedPageBreak/>
        <w:drawing>
          <wp:inline distT="0" distB="0" distL="0" distR="0">
            <wp:extent cx="5295900" cy="429006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429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4189" w:rsidRPr="00FA4189" w:rsidRDefault="00FA4189" w:rsidP="00FA4189">
      <w:pPr>
        <w:ind w:firstLine="0"/>
        <w:jc w:val="center"/>
      </w:pPr>
      <w:r>
        <w:t>Рисунок 4 –</w:t>
      </w:r>
      <w:r w:rsidRPr="00FA4189">
        <w:t xml:space="preserve"> Коэффициент изобретательской активности в разрезе федеральных округов России, ед. (составлено авторами по данным Росстата)</w:t>
      </w:r>
    </w:p>
    <w:p w:rsidR="00FA4189" w:rsidRDefault="00FA4189" w:rsidP="00FA4189"/>
    <w:p w:rsidR="00FA4189" w:rsidRPr="00FA4189" w:rsidRDefault="00FA4189" w:rsidP="00FA4189">
      <w:r w:rsidRPr="00FA4189">
        <w:t>Оптимистическое настроение вызывает тенденция к увеличению такого показателя, как доля продукции высокотехнологичных и наукоемких отраслей в ВВП: этот показатель возрос с 22,8 в 2011 г. до 23,1% в 201</w:t>
      </w:r>
      <w:r>
        <w:t>5</w:t>
      </w:r>
      <w:r w:rsidRPr="00FA4189">
        <w:t xml:space="preserve"> г. Аналогично возрастает и доля продукции высокотехнологичных и наукоемких отраслей </w:t>
      </w:r>
      <w:r>
        <w:t>в ВРП</w:t>
      </w:r>
      <w:r w:rsidRPr="00FA4189">
        <w:t xml:space="preserve">. Лидирующие позиции по данному показателю занимают Северо-Западный, Приволжский и Центральный федеральные округа, где значение показателя выше среднероссийского. </w:t>
      </w:r>
    </w:p>
    <w:p w:rsidR="00FA4189" w:rsidRPr="00FA4189" w:rsidRDefault="00FA4189" w:rsidP="00FA4189">
      <w:r w:rsidRPr="00FA4189">
        <w:t xml:space="preserve">На такую динамику оказало влияние множество факторов, среди которых основными являются системный экономический кризис, затянувшиеся институциональные преобразования, финансовые и инвестиционные коллапсы и др. Всего одно из десяти обследованных российских предприятий на сегодняшний день реально использует </w:t>
      </w:r>
      <w:r w:rsidRPr="00FA4189">
        <w:lastRenderedPageBreak/>
        <w:t xml:space="preserve">технологические, организационные, маркетинговые инновации в своей хозяйственной деятельности. </w:t>
      </w:r>
    </w:p>
    <w:p w:rsidR="00FA4189" w:rsidRDefault="00FA4189" w:rsidP="00FA4189">
      <w:r w:rsidRPr="00FA4189">
        <w:t>Вместе с тем, международная статистика свидетельствует о колоссальном отставании нашей страны от европейских государств по важнейшим показателям инновационной деятельности (рис. 4) [15, С. 332].</w:t>
      </w:r>
    </w:p>
    <w:p w:rsidR="00FA4189" w:rsidRDefault="00FA4189" w:rsidP="00FA4189">
      <w:r>
        <w:t xml:space="preserve">Российские показатели в 7 раз ниже германских, в 5,8 раз ниже бельгийских, в 5,7 раз – ниже ирландских. Более или менее мы близки по инновационной активности лишь к Румынии, где уровень инновационной активности составляет 16,2%. </w:t>
      </w:r>
    </w:p>
    <w:p w:rsidR="00FA4189" w:rsidRPr="00FA4189" w:rsidRDefault="00FA4189" w:rsidP="00FA4189">
      <w:r>
        <w:t>Из числа европейских стран передовиками в области инноваций являются в основном государства центра и севера европейского континента.</w:t>
      </w:r>
    </w:p>
    <w:p w:rsidR="0011447A" w:rsidRDefault="0011447A">
      <w:pPr>
        <w:spacing w:after="200" w:line="276" w:lineRule="auto"/>
        <w:ind w:firstLine="0"/>
        <w:jc w:val="left"/>
      </w:pPr>
      <w:r>
        <w:br w:type="page"/>
      </w:r>
    </w:p>
    <w:p w:rsidR="0011447A" w:rsidRDefault="0011447A" w:rsidP="0011447A">
      <w:pPr>
        <w:pStyle w:val="1"/>
      </w:pPr>
      <w:bookmarkStart w:id="3" w:name="_Toc484089065"/>
      <w:bookmarkStart w:id="4" w:name="_Toc498084899"/>
      <w:r>
        <w:lastRenderedPageBreak/>
        <w:t>Список использованных источников</w:t>
      </w:r>
      <w:bookmarkEnd w:id="3"/>
      <w:bookmarkEnd w:id="4"/>
    </w:p>
    <w:p w:rsidR="0011447A" w:rsidRDefault="0011447A" w:rsidP="0011447A"/>
    <w:p w:rsidR="0011447A" w:rsidRPr="0064741A" w:rsidRDefault="0011447A" w:rsidP="0011447A">
      <w:pPr>
        <w:pStyle w:val="a9"/>
        <w:numPr>
          <w:ilvl w:val="0"/>
          <w:numId w:val="5"/>
        </w:numPr>
        <w:ind w:left="0" w:firstLine="709"/>
      </w:pPr>
      <w:r>
        <w:t xml:space="preserve">Глобальный инновационный индекс 2016 г. // </w:t>
      </w:r>
      <w:r w:rsidRPr="0064741A">
        <w:t>Совместное издание ВОИС, Корнельского университета, INSEAD и партнеров ГИИ в области знаний 2016 г.: Конфедерации индийской промышленности (КИИ), «du», «A.T. Kearney» и «IMP³rove – Европейской академии управления инновациями».</w:t>
      </w:r>
    </w:p>
    <w:p w:rsidR="0011447A" w:rsidRDefault="0011447A" w:rsidP="0011447A">
      <w:pPr>
        <w:pStyle w:val="a9"/>
        <w:numPr>
          <w:ilvl w:val="0"/>
          <w:numId w:val="5"/>
        </w:numPr>
        <w:ind w:left="0" w:firstLine="709"/>
      </w:pPr>
      <w:r w:rsidRPr="00293BC4">
        <w:t>Григорьева, Е.М. Мировая экономика. Краткий курс для бакалавров: Учебное пособие / Е.М. Григорьева. - М.: Финансы и статистика, 2013. - 192 c.</w:t>
      </w:r>
    </w:p>
    <w:p w:rsidR="0011447A" w:rsidRPr="00293BC4" w:rsidRDefault="0011447A" w:rsidP="0011447A">
      <w:pPr>
        <w:pStyle w:val="a9"/>
        <w:numPr>
          <w:ilvl w:val="0"/>
          <w:numId w:val="5"/>
        </w:numPr>
        <w:ind w:left="0" w:firstLine="709"/>
        <w:rPr>
          <w:shd w:val="clear" w:color="auto" w:fill="FFFFFF"/>
        </w:rPr>
      </w:pPr>
      <w:r w:rsidRPr="00293BC4">
        <w:rPr>
          <w:shd w:val="clear" w:color="auto" w:fill="FFFFFF"/>
        </w:rPr>
        <w:t>Давыденко Е. В. Эволюция моделей инновационного развития в контексте глобализации мировой экономики // Проблемы современной экономики. 2013. №2 (46). URL: http://cyberleninka.ru/article/n/evolyutsiya-modeley-innovatsionnogo-razvitiya-v-kontekste-globalizatsii-mirovoy-ekonomiki (дата обращения: 17.05.2017).</w:t>
      </w:r>
    </w:p>
    <w:p w:rsidR="0011447A" w:rsidRPr="00293BC4" w:rsidRDefault="0011447A" w:rsidP="0011447A">
      <w:pPr>
        <w:pStyle w:val="a9"/>
        <w:numPr>
          <w:ilvl w:val="0"/>
          <w:numId w:val="5"/>
        </w:numPr>
        <w:ind w:left="0" w:firstLine="709"/>
        <w:rPr>
          <w:shd w:val="clear" w:color="auto" w:fill="FFFFFF"/>
        </w:rPr>
      </w:pPr>
      <w:r w:rsidRPr="00293BC4">
        <w:rPr>
          <w:shd w:val="clear" w:color="auto" w:fill="FFFFFF"/>
        </w:rPr>
        <w:t xml:space="preserve">Долгова М.В. Рынки наукоемких и высокотехнологичных отраслей: Российский и международный // Фундаментальные исследования. – 2014. – № 8-4. – С. 909-913; </w:t>
      </w:r>
    </w:p>
    <w:p w:rsidR="0011447A" w:rsidRDefault="0011447A" w:rsidP="0011447A">
      <w:pPr>
        <w:pStyle w:val="a9"/>
        <w:numPr>
          <w:ilvl w:val="0"/>
          <w:numId w:val="5"/>
        </w:numPr>
        <w:ind w:left="0" w:firstLine="709"/>
      </w:pPr>
      <w:r w:rsidRPr="00293BC4">
        <w:t>Зубенко, В.В. Мировая экономика и международные экономические отношения: Учебник и практикум / В.В. Зубенко, О.В. Игнатова, Н.Л. Орлова. - Люберцы: Юрайт, 2016. - 409 c.</w:t>
      </w:r>
    </w:p>
    <w:p w:rsidR="0011447A" w:rsidRDefault="0011447A" w:rsidP="0011447A">
      <w:pPr>
        <w:pStyle w:val="a9"/>
        <w:numPr>
          <w:ilvl w:val="0"/>
          <w:numId w:val="5"/>
        </w:numPr>
        <w:ind w:left="0" w:firstLine="709"/>
      </w:pPr>
      <w:r w:rsidRPr="00293BC4">
        <w:t>Ивасенко, А.Г. Мировая экономика: Учебное пособие / А.Г. Ивасенко, Я.И. Никонова. - М.: КноРус, 2013. - 640 c.</w:t>
      </w:r>
    </w:p>
    <w:p w:rsidR="0011447A" w:rsidRDefault="0011447A" w:rsidP="0011447A">
      <w:pPr>
        <w:pStyle w:val="a9"/>
        <w:numPr>
          <w:ilvl w:val="0"/>
          <w:numId w:val="5"/>
        </w:numPr>
        <w:ind w:left="0" w:firstLine="709"/>
      </w:pPr>
      <w:r>
        <w:t>Инновационный сектор мировой экономики: понятия, кон- цепции, индикаторы развития : [учеб. пособие] / Ю. Ю. Ковалев ; [науч. ред. В. И. Михайленко] ; М-во образования и науки Рос. Федерации, Урал. федер. ун-т. — Екатеринбург : Изд</w:t>
      </w:r>
      <w:r>
        <w:noBreakHyphen/>
        <w:t>во Урал. ун</w:t>
      </w:r>
      <w:r>
        <w:noBreakHyphen/>
        <w:t>та, 2016. — 180 с.</w:t>
      </w:r>
    </w:p>
    <w:p w:rsidR="0011447A" w:rsidRDefault="0011447A" w:rsidP="0011447A">
      <w:pPr>
        <w:pStyle w:val="a9"/>
        <w:numPr>
          <w:ilvl w:val="0"/>
          <w:numId w:val="5"/>
        </w:numPr>
        <w:ind w:left="0" w:firstLine="709"/>
      </w:pPr>
      <w:r>
        <w:t xml:space="preserve">Каковы объёмы инвестиций стран в НИОКР? Новый инструмент ЮНЕСКО для сбора данных выявил перспективных инвестеров // </w:t>
      </w:r>
      <w:r w:rsidRPr="006F4BBA">
        <w:lastRenderedPageBreak/>
        <w:t>http://www.unesco.org/new/ru/media-services/single-view/news/how_much_do_countries_invest_in_rd_new_unesco_data_tool_re/</w:t>
      </w:r>
    </w:p>
    <w:p w:rsidR="0011447A" w:rsidRDefault="0011447A" w:rsidP="0011447A">
      <w:pPr>
        <w:pStyle w:val="a9"/>
        <w:numPr>
          <w:ilvl w:val="0"/>
          <w:numId w:val="5"/>
        </w:numPr>
        <w:ind w:left="0" w:firstLine="709"/>
      </w:pPr>
      <w:r>
        <w:t xml:space="preserve">Компании перераспределят большую часть расходов на НИОКР в пользу разработки программного обеспечения и сервисов // </w:t>
      </w:r>
      <w:r w:rsidRPr="006F4BBA">
        <w:t>https://www.pwc.ru/ru/press-releases/2016/global-innovation-1000.html</w:t>
      </w:r>
    </w:p>
    <w:p w:rsidR="0011447A" w:rsidRDefault="0011447A" w:rsidP="0011447A">
      <w:pPr>
        <w:pStyle w:val="a9"/>
        <w:numPr>
          <w:ilvl w:val="0"/>
          <w:numId w:val="5"/>
        </w:numPr>
        <w:ind w:left="0" w:firstLine="709"/>
      </w:pPr>
      <w:r w:rsidRPr="00293BC4">
        <w:t>Ломакин, В.К. Мировая экономика: Учебник для студентов вузов, обучающихся по экономическим специальностям и направлениям / В.К. Ломакин. - М.: ЮНИТИ-ДАНА, 2012. - 671 c.</w:t>
      </w:r>
    </w:p>
    <w:p w:rsidR="0011447A" w:rsidRDefault="0011447A" w:rsidP="0011447A">
      <w:pPr>
        <w:pStyle w:val="a9"/>
        <w:numPr>
          <w:ilvl w:val="0"/>
          <w:numId w:val="5"/>
        </w:numPr>
        <w:ind w:left="0" w:firstLine="709"/>
      </w:pPr>
      <w:r w:rsidRPr="00293BC4">
        <w:t>Любецкий, В.В. Мировая экономика и международные экономические отношения: Учебник / В.В. Любецкий. - М.: НИЦ ИНФРА-М, 2013. - 350 c.</w:t>
      </w:r>
    </w:p>
    <w:p w:rsidR="0011447A" w:rsidRDefault="0011447A" w:rsidP="0011447A">
      <w:pPr>
        <w:pStyle w:val="a9"/>
        <w:numPr>
          <w:ilvl w:val="0"/>
          <w:numId w:val="5"/>
        </w:numPr>
        <w:ind w:left="0" w:firstLine="709"/>
      </w:pPr>
      <w:r w:rsidRPr="00293BC4">
        <w:t>Мировая экономика и международные экономические отношения: Учебник для бакалавров / Под ред. В.Б. Мантусова. - М.: ЮНИТИ, 2015. - 447 c.</w:t>
      </w:r>
    </w:p>
    <w:p w:rsidR="0011447A" w:rsidRDefault="0011447A" w:rsidP="0011447A">
      <w:pPr>
        <w:pStyle w:val="a9"/>
        <w:numPr>
          <w:ilvl w:val="0"/>
          <w:numId w:val="5"/>
        </w:numPr>
        <w:ind w:left="0" w:firstLine="709"/>
      </w:pPr>
      <w:r w:rsidRPr="00293BC4">
        <w:t>Мировая экономика. Практикум: Учебное пособие / Под ред. И.П. Николаевой. - М.: ЮНИТИ, 2015. - 223 c.</w:t>
      </w:r>
    </w:p>
    <w:p w:rsidR="0011447A" w:rsidRDefault="0011447A" w:rsidP="0011447A">
      <w:pPr>
        <w:pStyle w:val="a9"/>
        <w:numPr>
          <w:ilvl w:val="0"/>
          <w:numId w:val="5"/>
        </w:numPr>
        <w:ind w:left="0" w:firstLine="709"/>
      </w:pPr>
      <w:r w:rsidRPr="00293BC4">
        <w:t>Мировая экономика: Учебное пособие / Под ред. И.П. Николаевой. - М.: ЮНИТИ, 2016. - 399 c.</w:t>
      </w:r>
    </w:p>
    <w:p w:rsidR="0011447A" w:rsidRPr="00293BC4" w:rsidRDefault="0011447A" w:rsidP="0011447A">
      <w:pPr>
        <w:pStyle w:val="a9"/>
        <w:numPr>
          <w:ilvl w:val="0"/>
          <w:numId w:val="5"/>
        </w:numPr>
        <w:ind w:left="0" w:firstLine="709"/>
      </w:pPr>
      <w:r w:rsidRPr="00293BC4">
        <w:t>Мировая экономика: Учебник. / Под ред. Ю.А. Щербанина. - М.: ЮНИТИ, 2016. - 519 c.</w:t>
      </w:r>
    </w:p>
    <w:p w:rsidR="0011447A" w:rsidRDefault="0011447A" w:rsidP="0011447A">
      <w:pPr>
        <w:pStyle w:val="a9"/>
        <w:numPr>
          <w:ilvl w:val="0"/>
          <w:numId w:val="5"/>
        </w:numPr>
        <w:ind w:left="0" w:firstLine="709"/>
      </w:pPr>
      <w:r w:rsidRPr="00293BC4">
        <w:t>Орлов, А.И. Мировая экономика и международный бизнес. Экспресс-курс / А.И. Орлов. - М.: КноРус, 2013. - 280 c.</w:t>
      </w:r>
    </w:p>
    <w:p w:rsidR="0011447A" w:rsidRDefault="0011447A" w:rsidP="0011447A">
      <w:pPr>
        <w:pStyle w:val="a9"/>
        <w:numPr>
          <w:ilvl w:val="0"/>
          <w:numId w:val="5"/>
        </w:numPr>
        <w:ind w:left="0" w:firstLine="709"/>
      </w:pPr>
      <w:r w:rsidRPr="00293BC4">
        <w:t>Поморина, М.А. Мировая экономика. Международные экономические отношения. Глобалистика / М.А. Поморина. - М.: КноРус, 2013. - 320 c.</w:t>
      </w:r>
    </w:p>
    <w:p w:rsidR="0011447A" w:rsidRDefault="0011447A" w:rsidP="0011447A">
      <w:pPr>
        <w:pStyle w:val="a9"/>
        <w:numPr>
          <w:ilvl w:val="0"/>
          <w:numId w:val="5"/>
        </w:numPr>
        <w:ind w:left="0" w:firstLine="709"/>
      </w:pPr>
      <w:r w:rsidRPr="00293BC4">
        <w:t>Пономарева, Е.С. Мировая экономика и международные экономические отношения: Учебное пособие / Е.С. Пономарева, Л.А. Кривенцова. - М.: ЮНИТИ, 2015. - 287 c.</w:t>
      </w:r>
    </w:p>
    <w:p w:rsidR="0011447A" w:rsidRDefault="0011447A" w:rsidP="0011447A">
      <w:pPr>
        <w:pStyle w:val="a9"/>
        <w:numPr>
          <w:ilvl w:val="0"/>
          <w:numId w:val="5"/>
        </w:numPr>
        <w:ind w:left="0" w:firstLine="709"/>
      </w:pPr>
      <w:r w:rsidRPr="00293BC4">
        <w:t>Раджабова, З.К. Мировая экономика: Учебник / З.К. Раджабова. - М.: НИЦ ИНФРА-М, 2013. - 304 c.</w:t>
      </w:r>
    </w:p>
    <w:p w:rsidR="0011447A" w:rsidRDefault="0011447A" w:rsidP="0011447A">
      <w:pPr>
        <w:pStyle w:val="a9"/>
        <w:numPr>
          <w:ilvl w:val="0"/>
          <w:numId w:val="5"/>
        </w:numPr>
        <w:ind w:left="0" w:firstLine="709"/>
      </w:pPr>
      <w:r w:rsidRPr="00293BC4">
        <w:lastRenderedPageBreak/>
        <w:t>Салин, В.Н. Мировая экономика и международный бизнес. Практикум. Практическое пособие / В.Н. Салин, Е.П. Шпаковская. - М.: КноРус, 2013. - 400 c.</w:t>
      </w:r>
    </w:p>
    <w:p w:rsidR="0011447A" w:rsidRDefault="0011447A" w:rsidP="0011447A">
      <w:pPr>
        <w:pStyle w:val="a9"/>
        <w:numPr>
          <w:ilvl w:val="0"/>
          <w:numId w:val="5"/>
        </w:numPr>
        <w:ind w:left="0" w:firstLine="709"/>
      </w:pPr>
      <w:r w:rsidRPr="00293BC4">
        <w:t>Стрелкова, И.А. Мировая экономика: Учебное пособие / И.А. Стрелкова. - М.: ИЦ РИОР, ИНФРА-М, 2013. - 267 c.</w:t>
      </w:r>
    </w:p>
    <w:p w:rsidR="0011447A" w:rsidRDefault="0011447A" w:rsidP="0011447A">
      <w:pPr>
        <w:pStyle w:val="a9"/>
        <w:numPr>
          <w:ilvl w:val="0"/>
          <w:numId w:val="5"/>
        </w:numPr>
        <w:ind w:left="0" w:firstLine="709"/>
      </w:pPr>
      <w:r w:rsidRPr="00293BC4">
        <w:t>Трофимова, Т.И. Мировая экономика / Т.И. Трофимова. - М.: КноРус, 2013. - 640 c.</w:t>
      </w:r>
    </w:p>
    <w:p w:rsidR="0011447A" w:rsidRDefault="0011447A" w:rsidP="0011447A">
      <w:pPr>
        <w:pStyle w:val="a9"/>
        <w:numPr>
          <w:ilvl w:val="0"/>
          <w:numId w:val="5"/>
        </w:numPr>
        <w:ind w:left="0" w:firstLine="709"/>
      </w:pPr>
      <w:r w:rsidRPr="00293BC4">
        <w:t>Халевинская, Е.Д. Мировая экономика и международные экономические отношения: Учебник / Е.Д. Халевинская. - М.: Магистр, НИЦ ИНФРА-М, 2013. - 400 c.</w:t>
      </w:r>
    </w:p>
    <w:p w:rsidR="0011447A" w:rsidRDefault="0011447A" w:rsidP="0011447A">
      <w:pPr>
        <w:pStyle w:val="a9"/>
        <w:numPr>
          <w:ilvl w:val="0"/>
          <w:numId w:val="5"/>
        </w:numPr>
        <w:ind w:left="0" w:firstLine="709"/>
      </w:pPr>
      <w:r w:rsidRPr="00293BC4">
        <w:t>Чеботарев, Н.Ф. Мировая экономика и международные экономические отношения: Учебник для бакалавров / Н.Ф. Чеботарев. - М.: Дашков и К, 2016. - 352 c.</w:t>
      </w:r>
    </w:p>
    <w:p w:rsidR="0011447A" w:rsidRDefault="0011447A" w:rsidP="0011447A">
      <w:pPr>
        <w:pStyle w:val="a9"/>
        <w:numPr>
          <w:ilvl w:val="0"/>
          <w:numId w:val="5"/>
        </w:numPr>
        <w:ind w:left="0" w:firstLine="709"/>
      </w:pPr>
      <w:r w:rsidRPr="00293BC4">
        <w:t>Шимко, П.Д. Мировая экономика и международные экономические отношения: Учебник и практикум для бакалавриата и магистратуры / П.Д. Шимко. - Люберцы: Юрайт, 2016. - 392 c.</w:t>
      </w:r>
    </w:p>
    <w:p w:rsidR="0011447A" w:rsidRDefault="0011447A" w:rsidP="0011447A"/>
    <w:p w:rsidR="0011447A" w:rsidRDefault="0011447A"/>
    <w:sectPr w:rsidR="0011447A" w:rsidSect="00127CAE">
      <w:footerReference w:type="default" r:id="rId17"/>
      <w:pgSz w:w="11906" w:h="16838"/>
      <w:pgMar w:top="1134" w:right="850" w:bottom="1134" w:left="1701" w:header="708" w:footer="708" w:gutter="0"/>
      <w:pgNumType w:start="2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1970" w:rsidRDefault="00021970" w:rsidP="00127CAE">
      <w:pPr>
        <w:spacing w:line="240" w:lineRule="auto"/>
      </w:pPr>
      <w:r>
        <w:separator/>
      </w:r>
    </w:p>
  </w:endnote>
  <w:endnote w:type="continuationSeparator" w:id="0">
    <w:p w:rsidR="00021970" w:rsidRDefault="00021970" w:rsidP="00127C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2867679"/>
      <w:docPartObj>
        <w:docPartGallery w:val="Page Numbers (Bottom of Page)"/>
        <w:docPartUnique/>
      </w:docPartObj>
    </w:sdtPr>
    <w:sdtEndPr/>
    <w:sdtContent>
      <w:p w:rsidR="00127CAE" w:rsidRDefault="00127CA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3CFF">
          <w:rPr>
            <w:noProof/>
          </w:rPr>
          <w:t>21</w:t>
        </w:r>
        <w:r>
          <w:fldChar w:fldCharType="end"/>
        </w:r>
      </w:p>
    </w:sdtContent>
  </w:sdt>
  <w:p w:rsidR="00127CAE" w:rsidRDefault="00127CA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1970" w:rsidRDefault="00021970" w:rsidP="00127CAE">
      <w:pPr>
        <w:spacing w:line="240" w:lineRule="auto"/>
      </w:pPr>
      <w:r>
        <w:separator/>
      </w:r>
    </w:p>
  </w:footnote>
  <w:footnote w:type="continuationSeparator" w:id="0">
    <w:p w:rsidR="00021970" w:rsidRDefault="00021970" w:rsidP="00127CA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61E9D"/>
    <w:multiLevelType w:val="hybridMultilevel"/>
    <w:tmpl w:val="50F63E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2E13DA5"/>
    <w:multiLevelType w:val="hybridMultilevel"/>
    <w:tmpl w:val="E5A23E96"/>
    <w:lvl w:ilvl="0" w:tplc="D6587AF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3C8E4BC7"/>
    <w:multiLevelType w:val="hybridMultilevel"/>
    <w:tmpl w:val="DC5065EA"/>
    <w:lvl w:ilvl="0" w:tplc="D6587AF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54B1A23"/>
    <w:multiLevelType w:val="hybridMultilevel"/>
    <w:tmpl w:val="BBB6CF4A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5D0A1FEE"/>
    <w:multiLevelType w:val="hybridMultilevel"/>
    <w:tmpl w:val="6B4E0CD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36F2"/>
    <w:rsid w:val="00021970"/>
    <w:rsid w:val="000319FB"/>
    <w:rsid w:val="0009573B"/>
    <w:rsid w:val="0011447A"/>
    <w:rsid w:val="00127CAE"/>
    <w:rsid w:val="00423CFF"/>
    <w:rsid w:val="004B1947"/>
    <w:rsid w:val="004C7C60"/>
    <w:rsid w:val="00570F3E"/>
    <w:rsid w:val="00642361"/>
    <w:rsid w:val="00BC3FE0"/>
    <w:rsid w:val="00C40564"/>
    <w:rsid w:val="00D02D44"/>
    <w:rsid w:val="00D037D5"/>
    <w:rsid w:val="00D336F2"/>
    <w:rsid w:val="00D436B2"/>
    <w:rsid w:val="00E60A10"/>
    <w:rsid w:val="00FA4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CAE"/>
    <w:pPr>
      <w:spacing w:after="0" w:line="360" w:lineRule="auto"/>
      <w:ind w:firstLine="709"/>
      <w:jc w:val="both"/>
    </w:pPr>
  </w:style>
  <w:style w:type="paragraph" w:styleId="1">
    <w:name w:val="heading 1"/>
    <w:basedOn w:val="a"/>
    <w:next w:val="a"/>
    <w:link w:val="10"/>
    <w:uiPriority w:val="9"/>
    <w:qFormat/>
    <w:rsid w:val="00127CAE"/>
    <w:pPr>
      <w:keepNext/>
      <w:keepLines/>
      <w:spacing w:before="480"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7CAE"/>
    <w:rPr>
      <w:rFonts w:eastAsiaTheme="majorEastAsia" w:cstheme="majorBidi"/>
      <w:b/>
      <w:bCs/>
      <w:szCs w:val="28"/>
    </w:rPr>
  </w:style>
  <w:style w:type="paragraph" w:styleId="a3">
    <w:name w:val="header"/>
    <w:basedOn w:val="a"/>
    <w:link w:val="a4"/>
    <w:uiPriority w:val="99"/>
    <w:unhideWhenUsed/>
    <w:rsid w:val="00127CAE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27CAE"/>
  </w:style>
  <w:style w:type="paragraph" w:styleId="a5">
    <w:name w:val="footer"/>
    <w:basedOn w:val="a"/>
    <w:link w:val="a6"/>
    <w:uiPriority w:val="99"/>
    <w:unhideWhenUsed/>
    <w:rsid w:val="00127CAE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27CAE"/>
  </w:style>
  <w:style w:type="paragraph" w:customStyle="1" w:styleId="psection">
    <w:name w:val="psection"/>
    <w:basedOn w:val="a"/>
    <w:rsid w:val="00127CAE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27CA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27CAE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E60A10"/>
    <w:pPr>
      <w:ind w:left="720"/>
      <w:contextualSpacing/>
    </w:pPr>
  </w:style>
  <w:style w:type="paragraph" w:styleId="aa">
    <w:name w:val="No Spacing"/>
    <w:uiPriority w:val="1"/>
    <w:qFormat/>
    <w:rsid w:val="0011447A"/>
    <w:pPr>
      <w:spacing w:after="0" w:line="240" w:lineRule="auto"/>
      <w:jc w:val="both"/>
    </w:pPr>
    <w:rPr>
      <w:sz w:val="24"/>
    </w:rPr>
  </w:style>
  <w:style w:type="table" w:styleId="ab">
    <w:name w:val="Table Grid"/>
    <w:basedOn w:val="a1"/>
    <w:uiPriority w:val="59"/>
    <w:rsid w:val="001144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42361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ac">
    <w:name w:val="TOC Heading"/>
    <w:basedOn w:val="1"/>
    <w:next w:val="a"/>
    <w:uiPriority w:val="39"/>
    <w:semiHidden/>
    <w:unhideWhenUsed/>
    <w:qFormat/>
    <w:rsid w:val="0009573B"/>
    <w:pPr>
      <w:spacing w:line="276" w:lineRule="auto"/>
      <w:ind w:firstLine="0"/>
      <w:jc w:val="left"/>
      <w:outlineLvl w:val="9"/>
    </w:pPr>
    <w:rPr>
      <w:rFonts w:asciiTheme="majorHAnsi" w:hAnsiTheme="majorHAnsi"/>
      <w:color w:val="365F91" w:themeColor="accent1" w:themeShade="BF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09573B"/>
    <w:pPr>
      <w:spacing w:after="100"/>
    </w:pPr>
  </w:style>
  <w:style w:type="character" w:styleId="ad">
    <w:name w:val="Hyperlink"/>
    <w:basedOn w:val="a0"/>
    <w:uiPriority w:val="99"/>
    <w:unhideWhenUsed/>
    <w:rsid w:val="0009573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CAE"/>
    <w:pPr>
      <w:spacing w:after="0" w:line="360" w:lineRule="auto"/>
      <w:ind w:firstLine="709"/>
      <w:jc w:val="both"/>
    </w:pPr>
  </w:style>
  <w:style w:type="paragraph" w:styleId="1">
    <w:name w:val="heading 1"/>
    <w:basedOn w:val="a"/>
    <w:next w:val="a"/>
    <w:link w:val="10"/>
    <w:uiPriority w:val="9"/>
    <w:qFormat/>
    <w:rsid w:val="00127CAE"/>
    <w:pPr>
      <w:keepNext/>
      <w:keepLines/>
      <w:spacing w:before="480"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7CAE"/>
    <w:rPr>
      <w:rFonts w:eastAsiaTheme="majorEastAsia" w:cstheme="majorBidi"/>
      <w:b/>
      <w:bCs/>
      <w:szCs w:val="28"/>
    </w:rPr>
  </w:style>
  <w:style w:type="paragraph" w:styleId="a3">
    <w:name w:val="header"/>
    <w:basedOn w:val="a"/>
    <w:link w:val="a4"/>
    <w:uiPriority w:val="99"/>
    <w:unhideWhenUsed/>
    <w:rsid w:val="00127CAE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27CAE"/>
  </w:style>
  <w:style w:type="paragraph" w:styleId="a5">
    <w:name w:val="footer"/>
    <w:basedOn w:val="a"/>
    <w:link w:val="a6"/>
    <w:uiPriority w:val="99"/>
    <w:unhideWhenUsed/>
    <w:rsid w:val="00127CAE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27CAE"/>
  </w:style>
  <w:style w:type="paragraph" w:customStyle="1" w:styleId="psection">
    <w:name w:val="psection"/>
    <w:basedOn w:val="a"/>
    <w:rsid w:val="00127CAE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27CA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27CAE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E60A10"/>
    <w:pPr>
      <w:ind w:left="720"/>
      <w:contextualSpacing/>
    </w:pPr>
  </w:style>
  <w:style w:type="paragraph" w:styleId="aa">
    <w:name w:val="No Spacing"/>
    <w:uiPriority w:val="1"/>
    <w:qFormat/>
    <w:rsid w:val="0011447A"/>
    <w:pPr>
      <w:spacing w:after="0" w:line="240" w:lineRule="auto"/>
      <w:jc w:val="both"/>
    </w:pPr>
    <w:rPr>
      <w:sz w:val="24"/>
    </w:rPr>
  </w:style>
  <w:style w:type="table" w:styleId="ab">
    <w:name w:val="Table Grid"/>
    <w:basedOn w:val="a1"/>
    <w:uiPriority w:val="59"/>
    <w:rsid w:val="001144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42361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ac">
    <w:name w:val="TOC Heading"/>
    <w:basedOn w:val="1"/>
    <w:next w:val="a"/>
    <w:uiPriority w:val="39"/>
    <w:semiHidden/>
    <w:unhideWhenUsed/>
    <w:qFormat/>
    <w:rsid w:val="0009573B"/>
    <w:pPr>
      <w:spacing w:line="276" w:lineRule="auto"/>
      <w:ind w:firstLine="0"/>
      <w:jc w:val="left"/>
      <w:outlineLvl w:val="9"/>
    </w:pPr>
    <w:rPr>
      <w:rFonts w:asciiTheme="majorHAnsi" w:hAnsiTheme="majorHAnsi"/>
      <w:color w:val="365F91" w:themeColor="accent1" w:themeShade="BF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09573B"/>
    <w:pPr>
      <w:spacing w:after="100"/>
    </w:pPr>
  </w:style>
  <w:style w:type="character" w:styleId="ad">
    <w:name w:val="Hyperlink"/>
    <w:basedOn w:val="a0"/>
    <w:uiPriority w:val="99"/>
    <w:unhideWhenUsed/>
    <w:rsid w:val="0009573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708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71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7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04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diagramColors" Target="diagrams/colors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diagramQuickStyle" Target="diagrams/quickStyle1.xm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3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diagramLayout" Target="diagrams/layout1.xml"/><Relationship Id="rId5" Type="http://schemas.openxmlformats.org/officeDocument/2006/relationships/settings" Target="settings.xml"/><Relationship Id="rId15" Type="http://schemas.openxmlformats.org/officeDocument/2006/relationships/image" Target="media/image2.png"/><Relationship Id="rId10" Type="http://schemas.openxmlformats.org/officeDocument/2006/relationships/diagramData" Target="diagrams/data1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C131BDEA-A08E-4132-B298-B1D08E07C371}" type="doc">
      <dgm:prSet loTypeId="urn:microsoft.com/office/officeart/2005/8/layout/process5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66FB7DAB-6242-4BCC-A9D4-079629B96840}">
      <dgm:prSet phldrT="[Текст]" custT="1"/>
      <dgm:spPr/>
      <dgm:t>
        <a:bodyPr/>
        <a:lstStyle/>
        <a:p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Теория больших циклов Коньюктуры Н. Д. Кондратьева</a:t>
          </a:r>
        </a:p>
      </dgm:t>
    </dgm:pt>
    <dgm:pt modelId="{96B7494F-7531-4727-8F9F-D65F91717D65}" type="parTrans" cxnId="{7507D796-BE7D-4C0A-9DDB-F166EE54F118}">
      <dgm:prSet/>
      <dgm:spPr/>
      <dgm:t>
        <a:bodyPr/>
        <a:lstStyle/>
        <a:p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90C07FD6-4951-4F4B-9A65-2412C5EB0BF8}" type="sibTrans" cxnId="{7507D796-BE7D-4C0A-9DDB-F166EE54F118}">
      <dgm:prSet custT="1"/>
      <dgm:spPr/>
      <dgm:t>
        <a:bodyPr/>
        <a:lstStyle/>
        <a:p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28622342-59C0-4B65-BFEA-CD87C11617A9}">
      <dgm:prSet phldrT="[Текст]" custT="1"/>
      <dgm:spPr/>
      <dgm:t>
        <a:bodyPr/>
        <a:lstStyle/>
        <a:p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Теория инноваций (Й. Шумпетер, Г. Менш)</a:t>
          </a:r>
        </a:p>
      </dgm:t>
    </dgm:pt>
    <dgm:pt modelId="{AFB079EF-2B87-4C63-BE10-37881529C081}" type="parTrans" cxnId="{FA153F1A-1D18-4C49-944F-AB4028B2EA35}">
      <dgm:prSet/>
      <dgm:spPr/>
      <dgm:t>
        <a:bodyPr/>
        <a:lstStyle/>
        <a:p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2FAC674E-43C6-4D47-8FF1-C027726CCFE1}" type="sibTrans" cxnId="{FA153F1A-1D18-4C49-944F-AB4028B2EA35}">
      <dgm:prSet custT="1"/>
      <dgm:spPr/>
      <dgm:t>
        <a:bodyPr/>
        <a:lstStyle/>
        <a:p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230B1468-E55F-4A81-9CD5-DC46F9D78E33}">
      <dgm:prSet phldrT="[Текст]" custT="1"/>
      <dgm:spPr/>
      <dgm:t>
        <a:bodyPr/>
        <a:lstStyle/>
        <a:p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Теория полюсов роста (Ф. Перру, Ж. Будвиль)</a:t>
          </a:r>
        </a:p>
      </dgm:t>
    </dgm:pt>
    <dgm:pt modelId="{49E98A8C-B809-4DDC-9292-DC99712CC1EB}" type="parTrans" cxnId="{30ADA3C7-7278-4A75-AFF2-7EAB4596DA39}">
      <dgm:prSet/>
      <dgm:spPr/>
      <dgm:t>
        <a:bodyPr/>
        <a:lstStyle/>
        <a:p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D351901D-6200-401D-B155-9214626A0F78}" type="sibTrans" cxnId="{30ADA3C7-7278-4A75-AFF2-7EAB4596DA39}">
      <dgm:prSet custT="1"/>
      <dgm:spPr/>
      <dgm:t>
        <a:bodyPr/>
        <a:lstStyle/>
        <a:p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03DC71E9-FD39-4765-A737-3F06BA17A63E}">
      <dgm:prSet phldrT="[Текст]" custT="1"/>
      <dgm:spPr/>
      <dgm:t>
        <a:bodyPr/>
        <a:lstStyle/>
        <a:p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Концепция технологических укладов С. Глазьева, Д. Львова</a:t>
          </a:r>
        </a:p>
      </dgm:t>
    </dgm:pt>
    <dgm:pt modelId="{4E8C08B4-3ECE-4ECD-BBFD-D179115C998D}" type="parTrans" cxnId="{35EAD4B3-CD00-430C-BA1E-2DC3B88AF5F8}">
      <dgm:prSet/>
      <dgm:spPr/>
      <dgm:t>
        <a:bodyPr/>
        <a:lstStyle/>
        <a:p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FA2190C8-E1C8-430E-B3FA-AD1E0F5079F9}" type="sibTrans" cxnId="{35EAD4B3-CD00-430C-BA1E-2DC3B88AF5F8}">
      <dgm:prSet custT="1"/>
      <dgm:spPr/>
      <dgm:t>
        <a:bodyPr/>
        <a:lstStyle/>
        <a:p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D8F5C22E-97C7-44BB-8EA2-21B47DAF2C4A}">
      <dgm:prSet phldrT="[Текст]" custT="1"/>
      <dgm:spPr/>
      <dgm:t>
        <a:bodyPr/>
        <a:lstStyle/>
        <a:p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Теория кластеров М. Портера</a:t>
          </a:r>
        </a:p>
      </dgm:t>
    </dgm:pt>
    <dgm:pt modelId="{0B360510-E355-4DF2-895D-54EB1AE8F87A}" type="parTrans" cxnId="{60F3EFAD-1BAA-4F02-80EE-6AF5356CC54F}">
      <dgm:prSet/>
      <dgm:spPr/>
      <dgm:t>
        <a:bodyPr/>
        <a:lstStyle/>
        <a:p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CD44B579-ABC9-4595-A70D-325A07DE40B4}" type="sibTrans" cxnId="{60F3EFAD-1BAA-4F02-80EE-6AF5356CC54F}">
      <dgm:prSet custT="1"/>
      <dgm:spPr/>
      <dgm:t>
        <a:bodyPr/>
        <a:lstStyle/>
        <a:p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C3A9D445-03EF-41C9-A46B-ACA654188CBB}">
      <dgm:prSet custT="1"/>
      <dgm:spPr/>
      <dgm:t>
        <a:bodyPr/>
        <a:lstStyle/>
        <a:p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Концепция национальной инновационной системы (Б. Лундвалл, Р. Нельсон</a:t>
          </a:r>
        </a:p>
      </dgm:t>
    </dgm:pt>
    <dgm:pt modelId="{A9C78FF7-C2BC-4675-937E-68BA498F098E}" type="parTrans" cxnId="{7A133772-3B6A-4528-8D56-C4D20FA776CC}">
      <dgm:prSet/>
      <dgm:spPr/>
      <dgm:t>
        <a:bodyPr/>
        <a:lstStyle/>
        <a:p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2B3BFDF4-E829-412B-9094-11159C68D09F}" type="sibTrans" cxnId="{7A133772-3B6A-4528-8D56-C4D20FA776CC}">
      <dgm:prSet custT="1"/>
      <dgm:spPr/>
      <dgm:t>
        <a:bodyPr/>
        <a:lstStyle/>
        <a:p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F5A4FB97-0798-4045-A02F-3C8A753B988D}">
      <dgm:prSet custT="1"/>
      <dgm:spPr/>
      <dgm:t>
        <a:bodyPr/>
        <a:lstStyle/>
        <a:p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Концепция региональной инновационной системы Ф. Кука</a:t>
          </a:r>
        </a:p>
      </dgm:t>
    </dgm:pt>
    <dgm:pt modelId="{7E72F49F-5DFE-4648-870A-58E3DAC62D95}" type="parTrans" cxnId="{84315E5A-7B65-4A49-BE45-CAF0234BCA7B}">
      <dgm:prSet/>
      <dgm:spPr/>
      <dgm:t>
        <a:bodyPr/>
        <a:lstStyle/>
        <a:p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D25D4A49-B9AA-40A7-BA17-69C14F7D8E4F}" type="sibTrans" cxnId="{84315E5A-7B65-4A49-BE45-CAF0234BCA7B}">
      <dgm:prSet/>
      <dgm:spPr/>
      <dgm:t>
        <a:bodyPr/>
        <a:lstStyle/>
        <a:p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F4EDE97B-B2E9-4D9E-8C5D-78B5407BEFB8}" type="pres">
      <dgm:prSet presAssocID="{C131BDEA-A08E-4132-B298-B1D08E07C371}" presName="diagram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A29AE406-0AF4-4D71-BF28-B46E1E4F464A}" type="pres">
      <dgm:prSet presAssocID="{66FB7DAB-6242-4BCC-A9D4-079629B96840}" presName="node" presStyleLbl="node1" presStyleIdx="0" presStyleCnt="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79032BCF-F6DD-4BFD-895D-7FF6481EF1C9}" type="pres">
      <dgm:prSet presAssocID="{90C07FD6-4951-4F4B-9A65-2412C5EB0BF8}" presName="sibTrans" presStyleLbl="sibTrans2D1" presStyleIdx="0" presStyleCnt="6"/>
      <dgm:spPr/>
      <dgm:t>
        <a:bodyPr/>
        <a:lstStyle/>
        <a:p>
          <a:endParaRPr lang="ru-RU"/>
        </a:p>
      </dgm:t>
    </dgm:pt>
    <dgm:pt modelId="{3E14B627-080E-4429-86A9-53AFC7F98245}" type="pres">
      <dgm:prSet presAssocID="{90C07FD6-4951-4F4B-9A65-2412C5EB0BF8}" presName="connectorText" presStyleLbl="sibTrans2D1" presStyleIdx="0" presStyleCnt="6"/>
      <dgm:spPr/>
      <dgm:t>
        <a:bodyPr/>
        <a:lstStyle/>
        <a:p>
          <a:endParaRPr lang="ru-RU"/>
        </a:p>
      </dgm:t>
    </dgm:pt>
    <dgm:pt modelId="{75384261-6669-44EE-B8B7-625F5A972B5D}" type="pres">
      <dgm:prSet presAssocID="{28622342-59C0-4B65-BFEA-CD87C11617A9}" presName="node" presStyleLbl="node1" presStyleIdx="1" presStyleCnt="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77B9802C-79DB-4CD2-8B78-8CB8B2830BB6}" type="pres">
      <dgm:prSet presAssocID="{2FAC674E-43C6-4D47-8FF1-C027726CCFE1}" presName="sibTrans" presStyleLbl="sibTrans2D1" presStyleIdx="1" presStyleCnt="6"/>
      <dgm:spPr/>
      <dgm:t>
        <a:bodyPr/>
        <a:lstStyle/>
        <a:p>
          <a:endParaRPr lang="ru-RU"/>
        </a:p>
      </dgm:t>
    </dgm:pt>
    <dgm:pt modelId="{19305047-F405-4344-8ABC-A7A2A361253D}" type="pres">
      <dgm:prSet presAssocID="{2FAC674E-43C6-4D47-8FF1-C027726CCFE1}" presName="connectorText" presStyleLbl="sibTrans2D1" presStyleIdx="1" presStyleCnt="6"/>
      <dgm:spPr/>
      <dgm:t>
        <a:bodyPr/>
        <a:lstStyle/>
        <a:p>
          <a:endParaRPr lang="ru-RU"/>
        </a:p>
      </dgm:t>
    </dgm:pt>
    <dgm:pt modelId="{7FB770A7-B826-42A9-84A0-472477DF7DBE}" type="pres">
      <dgm:prSet presAssocID="{230B1468-E55F-4A81-9CD5-DC46F9D78E33}" presName="node" presStyleLbl="node1" presStyleIdx="2" presStyleCnt="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8D20B33-8ED1-40C8-A4DD-12014491AA15}" type="pres">
      <dgm:prSet presAssocID="{D351901D-6200-401D-B155-9214626A0F78}" presName="sibTrans" presStyleLbl="sibTrans2D1" presStyleIdx="2" presStyleCnt="6"/>
      <dgm:spPr/>
      <dgm:t>
        <a:bodyPr/>
        <a:lstStyle/>
        <a:p>
          <a:endParaRPr lang="ru-RU"/>
        </a:p>
      </dgm:t>
    </dgm:pt>
    <dgm:pt modelId="{0A26E30F-9E1C-4F41-B50E-676D90025CE0}" type="pres">
      <dgm:prSet presAssocID="{D351901D-6200-401D-B155-9214626A0F78}" presName="connectorText" presStyleLbl="sibTrans2D1" presStyleIdx="2" presStyleCnt="6"/>
      <dgm:spPr/>
      <dgm:t>
        <a:bodyPr/>
        <a:lstStyle/>
        <a:p>
          <a:endParaRPr lang="ru-RU"/>
        </a:p>
      </dgm:t>
    </dgm:pt>
    <dgm:pt modelId="{B3FBF75A-3537-40A7-A5DE-566E4BAFAF35}" type="pres">
      <dgm:prSet presAssocID="{03DC71E9-FD39-4765-A737-3F06BA17A63E}" presName="node" presStyleLbl="node1" presStyleIdx="3" presStyleCnt="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81577C9-0382-4297-8D82-90F39FDB48B8}" type="pres">
      <dgm:prSet presAssocID="{FA2190C8-E1C8-430E-B3FA-AD1E0F5079F9}" presName="sibTrans" presStyleLbl="sibTrans2D1" presStyleIdx="3" presStyleCnt="6"/>
      <dgm:spPr/>
      <dgm:t>
        <a:bodyPr/>
        <a:lstStyle/>
        <a:p>
          <a:endParaRPr lang="ru-RU"/>
        </a:p>
      </dgm:t>
    </dgm:pt>
    <dgm:pt modelId="{6E77E563-1602-4D15-8E9D-B0DB79C1CC77}" type="pres">
      <dgm:prSet presAssocID="{FA2190C8-E1C8-430E-B3FA-AD1E0F5079F9}" presName="connectorText" presStyleLbl="sibTrans2D1" presStyleIdx="3" presStyleCnt="6"/>
      <dgm:spPr/>
      <dgm:t>
        <a:bodyPr/>
        <a:lstStyle/>
        <a:p>
          <a:endParaRPr lang="ru-RU"/>
        </a:p>
      </dgm:t>
    </dgm:pt>
    <dgm:pt modelId="{3A1C2847-5525-4AC6-88C9-86BBC46BB14C}" type="pres">
      <dgm:prSet presAssocID="{D8F5C22E-97C7-44BB-8EA2-21B47DAF2C4A}" presName="node" presStyleLbl="node1" presStyleIdx="4" presStyleCnt="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6CE2E02-5DC3-4DC8-ADBE-A495E4ADF375}" type="pres">
      <dgm:prSet presAssocID="{CD44B579-ABC9-4595-A70D-325A07DE40B4}" presName="sibTrans" presStyleLbl="sibTrans2D1" presStyleIdx="4" presStyleCnt="6"/>
      <dgm:spPr/>
      <dgm:t>
        <a:bodyPr/>
        <a:lstStyle/>
        <a:p>
          <a:endParaRPr lang="ru-RU"/>
        </a:p>
      </dgm:t>
    </dgm:pt>
    <dgm:pt modelId="{DA63ECA2-A1E2-4AC6-B1BB-3F63C7AA062C}" type="pres">
      <dgm:prSet presAssocID="{CD44B579-ABC9-4595-A70D-325A07DE40B4}" presName="connectorText" presStyleLbl="sibTrans2D1" presStyleIdx="4" presStyleCnt="6"/>
      <dgm:spPr/>
      <dgm:t>
        <a:bodyPr/>
        <a:lstStyle/>
        <a:p>
          <a:endParaRPr lang="ru-RU"/>
        </a:p>
      </dgm:t>
    </dgm:pt>
    <dgm:pt modelId="{4861A70F-C6C7-4160-90B6-6FE1619335A0}" type="pres">
      <dgm:prSet presAssocID="{C3A9D445-03EF-41C9-A46B-ACA654188CBB}" presName="node" presStyleLbl="node1" presStyleIdx="5" presStyleCnt="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F6019D64-D3AD-443C-9461-9BCDFD19CA33}" type="pres">
      <dgm:prSet presAssocID="{2B3BFDF4-E829-412B-9094-11159C68D09F}" presName="sibTrans" presStyleLbl="sibTrans2D1" presStyleIdx="5" presStyleCnt="6"/>
      <dgm:spPr/>
      <dgm:t>
        <a:bodyPr/>
        <a:lstStyle/>
        <a:p>
          <a:endParaRPr lang="ru-RU"/>
        </a:p>
      </dgm:t>
    </dgm:pt>
    <dgm:pt modelId="{5EE06CD2-BBD1-41F7-92D8-587CFD44D4B6}" type="pres">
      <dgm:prSet presAssocID="{2B3BFDF4-E829-412B-9094-11159C68D09F}" presName="connectorText" presStyleLbl="sibTrans2D1" presStyleIdx="5" presStyleCnt="6"/>
      <dgm:spPr/>
      <dgm:t>
        <a:bodyPr/>
        <a:lstStyle/>
        <a:p>
          <a:endParaRPr lang="ru-RU"/>
        </a:p>
      </dgm:t>
    </dgm:pt>
    <dgm:pt modelId="{C3A4F3DA-9325-4A02-B86C-FA888EC948AB}" type="pres">
      <dgm:prSet presAssocID="{F5A4FB97-0798-4045-A02F-3C8A753B988D}" presName="node" presStyleLbl="node1" presStyleIdx="6" presStyleCnt="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30ADA3C7-7278-4A75-AFF2-7EAB4596DA39}" srcId="{C131BDEA-A08E-4132-B298-B1D08E07C371}" destId="{230B1468-E55F-4A81-9CD5-DC46F9D78E33}" srcOrd="2" destOrd="0" parTransId="{49E98A8C-B809-4DDC-9292-DC99712CC1EB}" sibTransId="{D351901D-6200-401D-B155-9214626A0F78}"/>
    <dgm:cxn modelId="{140C04C7-B8A3-490C-882F-FC662AA43247}" type="presOf" srcId="{28622342-59C0-4B65-BFEA-CD87C11617A9}" destId="{75384261-6669-44EE-B8B7-625F5A972B5D}" srcOrd="0" destOrd="0" presId="urn:microsoft.com/office/officeart/2005/8/layout/process5"/>
    <dgm:cxn modelId="{35EAD4B3-CD00-430C-BA1E-2DC3B88AF5F8}" srcId="{C131BDEA-A08E-4132-B298-B1D08E07C371}" destId="{03DC71E9-FD39-4765-A737-3F06BA17A63E}" srcOrd="3" destOrd="0" parTransId="{4E8C08B4-3ECE-4ECD-BBFD-D179115C998D}" sibTransId="{FA2190C8-E1C8-430E-B3FA-AD1E0F5079F9}"/>
    <dgm:cxn modelId="{84315E5A-7B65-4A49-BE45-CAF0234BCA7B}" srcId="{C131BDEA-A08E-4132-B298-B1D08E07C371}" destId="{F5A4FB97-0798-4045-A02F-3C8A753B988D}" srcOrd="6" destOrd="0" parTransId="{7E72F49F-5DFE-4648-870A-58E3DAC62D95}" sibTransId="{D25D4A49-B9AA-40A7-BA17-69C14F7D8E4F}"/>
    <dgm:cxn modelId="{7507D796-BE7D-4C0A-9DDB-F166EE54F118}" srcId="{C131BDEA-A08E-4132-B298-B1D08E07C371}" destId="{66FB7DAB-6242-4BCC-A9D4-079629B96840}" srcOrd="0" destOrd="0" parTransId="{96B7494F-7531-4727-8F9F-D65F91717D65}" sibTransId="{90C07FD6-4951-4F4B-9A65-2412C5EB0BF8}"/>
    <dgm:cxn modelId="{0FEBF603-87F8-4116-930F-90DE79BBFF58}" type="presOf" srcId="{2B3BFDF4-E829-412B-9094-11159C68D09F}" destId="{5EE06CD2-BBD1-41F7-92D8-587CFD44D4B6}" srcOrd="1" destOrd="0" presId="urn:microsoft.com/office/officeart/2005/8/layout/process5"/>
    <dgm:cxn modelId="{AA779B67-920D-4B6C-A3D1-63945F7B5244}" type="presOf" srcId="{2FAC674E-43C6-4D47-8FF1-C027726CCFE1}" destId="{77B9802C-79DB-4CD2-8B78-8CB8B2830BB6}" srcOrd="0" destOrd="0" presId="urn:microsoft.com/office/officeart/2005/8/layout/process5"/>
    <dgm:cxn modelId="{FCD5BC2A-B57E-4F49-BDFF-DCB351AD4DA5}" type="presOf" srcId="{2B3BFDF4-E829-412B-9094-11159C68D09F}" destId="{F6019D64-D3AD-443C-9461-9BCDFD19CA33}" srcOrd="0" destOrd="0" presId="urn:microsoft.com/office/officeart/2005/8/layout/process5"/>
    <dgm:cxn modelId="{702599BA-3BEA-4C39-9E1A-0DBEAC592F91}" type="presOf" srcId="{90C07FD6-4951-4F4B-9A65-2412C5EB0BF8}" destId="{3E14B627-080E-4429-86A9-53AFC7F98245}" srcOrd="1" destOrd="0" presId="urn:microsoft.com/office/officeart/2005/8/layout/process5"/>
    <dgm:cxn modelId="{7A133772-3B6A-4528-8D56-C4D20FA776CC}" srcId="{C131BDEA-A08E-4132-B298-B1D08E07C371}" destId="{C3A9D445-03EF-41C9-A46B-ACA654188CBB}" srcOrd="5" destOrd="0" parTransId="{A9C78FF7-C2BC-4675-937E-68BA498F098E}" sibTransId="{2B3BFDF4-E829-412B-9094-11159C68D09F}"/>
    <dgm:cxn modelId="{FE0168CF-6386-4412-B037-AF5B9FACEB98}" type="presOf" srcId="{D8F5C22E-97C7-44BB-8EA2-21B47DAF2C4A}" destId="{3A1C2847-5525-4AC6-88C9-86BBC46BB14C}" srcOrd="0" destOrd="0" presId="urn:microsoft.com/office/officeart/2005/8/layout/process5"/>
    <dgm:cxn modelId="{64D30DD3-C6C6-484D-8B13-F2B2C6ABD881}" type="presOf" srcId="{90C07FD6-4951-4F4B-9A65-2412C5EB0BF8}" destId="{79032BCF-F6DD-4BFD-895D-7FF6481EF1C9}" srcOrd="0" destOrd="0" presId="urn:microsoft.com/office/officeart/2005/8/layout/process5"/>
    <dgm:cxn modelId="{D52A897A-B037-4279-972A-2B7521F325A1}" type="presOf" srcId="{D351901D-6200-401D-B155-9214626A0F78}" destId="{C8D20B33-8ED1-40C8-A4DD-12014491AA15}" srcOrd="0" destOrd="0" presId="urn:microsoft.com/office/officeart/2005/8/layout/process5"/>
    <dgm:cxn modelId="{DA0EFC57-F402-4569-AA0E-45300A5E416A}" type="presOf" srcId="{FA2190C8-E1C8-430E-B3FA-AD1E0F5079F9}" destId="{881577C9-0382-4297-8D82-90F39FDB48B8}" srcOrd="0" destOrd="0" presId="urn:microsoft.com/office/officeart/2005/8/layout/process5"/>
    <dgm:cxn modelId="{3E4E86AD-B323-494B-BA70-A77EDE5DECF9}" type="presOf" srcId="{D351901D-6200-401D-B155-9214626A0F78}" destId="{0A26E30F-9E1C-4F41-B50E-676D90025CE0}" srcOrd="1" destOrd="0" presId="urn:microsoft.com/office/officeart/2005/8/layout/process5"/>
    <dgm:cxn modelId="{FA153F1A-1D18-4C49-944F-AB4028B2EA35}" srcId="{C131BDEA-A08E-4132-B298-B1D08E07C371}" destId="{28622342-59C0-4B65-BFEA-CD87C11617A9}" srcOrd="1" destOrd="0" parTransId="{AFB079EF-2B87-4C63-BE10-37881529C081}" sibTransId="{2FAC674E-43C6-4D47-8FF1-C027726CCFE1}"/>
    <dgm:cxn modelId="{6453BE1A-A023-4B5B-8A4E-61B1ECCC7371}" type="presOf" srcId="{230B1468-E55F-4A81-9CD5-DC46F9D78E33}" destId="{7FB770A7-B826-42A9-84A0-472477DF7DBE}" srcOrd="0" destOrd="0" presId="urn:microsoft.com/office/officeart/2005/8/layout/process5"/>
    <dgm:cxn modelId="{94465A5F-1C4F-4583-8331-B2000309572E}" type="presOf" srcId="{66FB7DAB-6242-4BCC-A9D4-079629B96840}" destId="{A29AE406-0AF4-4D71-BF28-B46E1E4F464A}" srcOrd="0" destOrd="0" presId="urn:microsoft.com/office/officeart/2005/8/layout/process5"/>
    <dgm:cxn modelId="{BA27965A-0B6B-4ABB-ABF5-65DE9A41BBD8}" type="presOf" srcId="{C3A9D445-03EF-41C9-A46B-ACA654188CBB}" destId="{4861A70F-C6C7-4160-90B6-6FE1619335A0}" srcOrd="0" destOrd="0" presId="urn:microsoft.com/office/officeart/2005/8/layout/process5"/>
    <dgm:cxn modelId="{5179ED42-762C-4C1A-A944-D7ACC0CA0CAE}" type="presOf" srcId="{F5A4FB97-0798-4045-A02F-3C8A753B988D}" destId="{C3A4F3DA-9325-4A02-B86C-FA888EC948AB}" srcOrd="0" destOrd="0" presId="urn:microsoft.com/office/officeart/2005/8/layout/process5"/>
    <dgm:cxn modelId="{5F3F4D88-463A-4D78-BB1E-4FA832C8F000}" type="presOf" srcId="{2FAC674E-43C6-4D47-8FF1-C027726CCFE1}" destId="{19305047-F405-4344-8ABC-A7A2A361253D}" srcOrd="1" destOrd="0" presId="urn:microsoft.com/office/officeart/2005/8/layout/process5"/>
    <dgm:cxn modelId="{C0F1A4AF-9682-436A-BA37-39DF8BA44ADF}" type="presOf" srcId="{C131BDEA-A08E-4132-B298-B1D08E07C371}" destId="{F4EDE97B-B2E9-4D9E-8C5D-78B5407BEFB8}" srcOrd="0" destOrd="0" presId="urn:microsoft.com/office/officeart/2005/8/layout/process5"/>
    <dgm:cxn modelId="{2D3CE22F-0774-43A6-913E-64382B1D7307}" type="presOf" srcId="{03DC71E9-FD39-4765-A737-3F06BA17A63E}" destId="{B3FBF75A-3537-40A7-A5DE-566E4BAFAF35}" srcOrd="0" destOrd="0" presId="urn:microsoft.com/office/officeart/2005/8/layout/process5"/>
    <dgm:cxn modelId="{60F3EFAD-1BAA-4F02-80EE-6AF5356CC54F}" srcId="{C131BDEA-A08E-4132-B298-B1D08E07C371}" destId="{D8F5C22E-97C7-44BB-8EA2-21B47DAF2C4A}" srcOrd="4" destOrd="0" parTransId="{0B360510-E355-4DF2-895D-54EB1AE8F87A}" sibTransId="{CD44B579-ABC9-4595-A70D-325A07DE40B4}"/>
    <dgm:cxn modelId="{31058BAF-2C2F-49A0-98FC-4FDF4C1CBAF2}" type="presOf" srcId="{FA2190C8-E1C8-430E-B3FA-AD1E0F5079F9}" destId="{6E77E563-1602-4D15-8E9D-B0DB79C1CC77}" srcOrd="1" destOrd="0" presId="urn:microsoft.com/office/officeart/2005/8/layout/process5"/>
    <dgm:cxn modelId="{447C677B-1DB7-4DFE-BAFB-4F702C62FDC5}" type="presOf" srcId="{CD44B579-ABC9-4595-A70D-325A07DE40B4}" destId="{86CE2E02-5DC3-4DC8-ADBE-A495E4ADF375}" srcOrd="0" destOrd="0" presId="urn:microsoft.com/office/officeart/2005/8/layout/process5"/>
    <dgm:cxn modelId="{3E48A6BF-DA91-467B-AA8C-DA6421ED15E3}" type="presOf" srcId="{CD44B579-ABC9-4595-A70D-325A07DE40B4}" destId="{DA63ECA2-A1E2-4AC6-B1BB-3F63C7AA062C}" srcOrd="1" destOrd="0" presId="urn:microsoft.com/office/officeart/2005/8/layout/process5"/>
    <dgm:cxn modelId="{4AB118C0-FEF3-4682-8565-DB306D24B4BC}" type="presParOf" srcId="{F4EDE97B-B2E9-4D9E-8C5D-78B5407BEFB8}" destId="{A29AE406-0AF4-4D71-BF28-B46E1E4F464A}" srcOrd="0" destOrd="0" presId="urn:microsoft.com/office/officeart/2005/8/layout/process5"/>
    <dgm:cxn modelId="{565D0CE2-CB9F-48E0-A752-C0B8E80A1FE3}" type="presParOf" srcId="{F4EDE97B-B2E9-4D9E-8C5D-78B5407BEFB8}" destId="{79032BCF-F6DD-4BFD-895D-7FF6481EF1C9}" srcOrd="1" destOrd="0" presId="urn:microsoft.com/office/officeart/2005/8/layout/process5"/>
    <dgm:cxn modelId="{6B16AEB1-7776-49D1-9399-883A8B502EBE}" type="presParOf" srcId="{79032BCF-F6DD-4BFD-895D-7FF6481EF1C9}" destId="{3E14B627-080E-4429-86A9-53AFC7F98245}" srcOrd="0" destOrd="0" presId="urn:microsoft.com/office/officeart/2005/8/layout/process5"/>
    <dgm:cxn modelId="{3BA754D5-CA3E-445E-8C8C-A4BA6279816B}" type="presParOf" srcId="{F4EDE97B-B2E9-4D9E-8C5D-78B5407BEFB8}" destId="{75384261-6669-44EE-B8B7-625F5A972B5D}" srcOrd="2" destOrd="0" presId="urn:microsoft.com/office/officeart/2005/8/layout/process5"/>
    <dgm:cxn modelId="{F9E55E77-B0B2-49F9-B53A-1060E963BB1F}" type="presParOf" srcId="{F4EDE97B-B2E9-4D9E-8C5D-78B5407BEFB8}" destId="{77B9802C-79DB-4CD2-8B78-8CB8B2830BB6}" srcOrd="3" destOrd="0" presId="urn:microsoft.com/office/officeart/2005/8/layout/process5"/>
    <dgm:cxn modelId="{55F4D953-C498-4CE0-B4CD-445957BD92FE}" type="presParOf" srcId="{77B9802C-79DB-4CD2-8B78-8CB8B2830BB6}" destId="{19305047-F405-4344-8ABC-A7A2A361253D}" srcOrd="0" destOrd="0" presId="urn:microsoft.com/office/officeart/2005/8/layout/process5"/>
    <dgm:cxn modelId="{A6176415-C521-4863-B647-48129536EF5B}" type="presParOf" srcId="{F4EDE97B-B2E9-4D9E-8C5D-78B5407BEFB8}" destId="{7FB770A7-B826-42A9-84A0-472477DF7DBE}" srcOrd="4" destOrd="0" presId="urn:microsoft.com/office/officeart/2005/8/layout/process5"/>
    <dgm:cxn modelId="{8FB92434-5EB9-4C11-8CE1-D27413DD029E}" type="presParOf" srcId="{F4EDE97B-B2E9-4D9E-8C5D-78B5407BEFB8}" destId="{C8D20B33-8ED1-40C8-A4DD-12014491AA15}" srcOrd="5" destOrd="0" presId="urn:microsoft.com/office/officeart/2005/8/layout/process5"/>
    <dgm:cxn modelId="{56928B8E-C375-49A3-B742-C25A719A0C6E}" type="presParOf" srcId="{C8D20B33-8ED1-40C8-A4DD-12014491AA15}" destId="{0A26E30F-9E1C-4F41-B50E-676D90025CE0}" srcOrd="0" destOrd="0" presId="urn:microsoft.com/office/officeart/2005/8/layout/process5"/>
    <dgm:cxn modelId="{969E273C-B591-433E-94A0-07B158165ED6}" type="presParOf" srcId="{F4EDE97B-B2E9-4D9E-8C5D-78B5407BEFB8}" destId="{B3FBF75A-3537-40A7-A5DE-566E4BAFAF35}" srcOrd="6" destOrd="0" presId="urn:microsoft.com/office/officeart/2005/8/layout/process5"/>
    <dgm:cxn modelId="{0050898B-8E8C-4A80-9EA1-02B572115CD2}" type="presParOf" srcId="{F4EDE97B-B2E9-4D9E-8C5D-78B5407BEFB8}" destId="{881577C9-0382-4297-8D82-90F39FDB48B8}" srcOrd="7" destOrd="0" presId="urn:microsoft.com/office/officeart/2005/8/layout/process5"/>
    <dgm:cxn modelId="{8193D86A-E7D4-486B-9F9E-FC839FA14488}" type="presParOf" srcId="{881577C9-0382-4297-8D82-90F39FDB48B8}" destId="{6E77E563-1602-4D15-8E9D-B0DB79C1CC77}" srcOrd="0" destOrd="0" presId="urn:microsoft.com/office/officeart/2005/8/layout/process5"/>
    <dgm:cxn modelId="{59B34AA3-6437-4A0C-B9FB-21D6F8CA85D7}" type="presParOf" srcId="{F4EDE97B-B2E9-4D9E-8C5D-78B5407BEFB8}" destId="{3A1C2847-5525-4AC6-88C9-86BBC46BB14C}" srcOrd="8" destOrd="0" presId="urn:microsoft.com/office/officeart/2005/8/layout/process5"/>
    <dgm:cxn modelId="{4AE4DD33-4615-4A80-82A3-BA8EF430723B}" type="presParOf" srcId="{F4EDE97B-B2E9-4D9E-8C5D-78B5407BEFB8}" destId="{86CE2E02-5DC3-4DC8-ADBE-A495E4ADF375}" srcOrd="9" destOrd="0" presId="urn:microsoft.com/office/officeart/2005/8/layout/process5"/>
    <dgm:cxn modelId="{F43AB314-80A5-4DA0-80E5-B447A4681B63}" type="presParOf" srcId="{86CE2E02-5DC3-4DC8-ADBE-A495E4ADF375}" destId="{DA63ECA2-A1E2-4AC6-B1BB-3F63C7AA062C}" srcOrd="0" destOrd="0" presId="urn:microsoft.com/office/officeart/2005/8/layout/process5"/>
    <dgm:cxn modelId="{5F4449AD-A99A-4BFB-B535-84728D593F1A}" type="presParOf" srcId="{F4EDE97B-B2E9-4D9E-8C5D-78B5407BEFB8}" destId="{4861A70F-C6C7-4160-90B6-6FE1619335A0}" srcOrd="10" destOrd="0" presId="urn:microsoft.com/office/officeart/2005/8/layout/process5"/>
    <dgm:cxn modelId="{98FA511F-3C9E-4C98-B1A6-EABBF9454DAE}" type="presParOf" srcId="{F4EDE97B-B2E9-4D9E-8C5D-78B5407BEFB8}" destId="{F6019D64-D3AD-443C-9461-9BCDFD19CA33}" srcOrd="11" destOrd="0" presId="urn:microsoft.com/office/officeart/2005/8/layout/process5"/>
    <dgm:cxn modelId="{895308A9-7770-4F3E-A644-8F68827AEA79}" type="presParOf" srcId="{F6019D64-D3AD-443C-9461-9BCDFD19CA33}" destId="{5EE06CD2-BBD1-41F7-92D8-587CFD44D4B6}" srcOrd="0" destOrd="0" presId="urn:microsoft.com/office/officeart/2005/8/layout/process5"/>
    <dgm:cxn modelId="{B728EDA7-C60B-4C6C-B4BC-417FFD179953}" type="presParOf" srcId="{F4EDE97B-B2E9-4D9E-8C5D-78B5407BEFB8}" destId="{C3A4F3DA-9325-4A02-B86C-FA888EC948AB}" srcOrd="12" destOrd="0" presId="urn:microsoft.com/office/officeart/2005/8/layout/process5"/>
  </dgm:cxnLst>
  <dgm:bg/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29AE406-0AF4-4D71-BF28-B46E1E4F464A}">
      <dsp:nvSpPr>
        <dsp:cNvPr id="0" name=""/>
        <dsp:cNvSpPr/>
      </dsp:nvSpPr>
      <dsp:spPr>
        <a:xfrm>
          <a:off x="406925" y="1696"/>
          <a:ext cx="1229617" cy="73777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Теория больших циклов Коньюктуры Н. Д. Кондратьева</a:t>
          </a:r>
        </a:p>
      </dsp:txBody>
      <dsp:txXfrm>
        <a:off x="428534" y="23305"/>
        <a:ext cx="1186399" cy="694552"/>
      </dsp:txXfrm>
    </dsp:sp>
    <dsp:sp modelId="{79032BCF-F6DD-4BFD-895D-7FF6481EF1C9}">
      <dsp:nvSpPr>
        <dsp:cNvPr id="0" name=""/>
        <dsp:cNvSpPr/>
      </dsp:nvSpPr>
      <dsp:spPr>
        <a:xfrm>
          <a:off x="1744750" y="218109"/>
          <a:ext cx="260679" cy="304945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2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1744750" y="279098"/>
        <a:ext cx="182475" cy="182967"/>
      </dsp:txXfrm>
    </dsp:sp>
    <dsp:sp modelId="{75384261-6669-44EE-B8B7-625F5A972B5D}">
      <dsp:nvSpPr>
        <dsp:cNvPr id="0" name=""/>
        <dsp:cNvSpPr/>
      </dsp:nvSpPr>
      <dsp:spPr>
        <a:xfrm>
          <a:off x="2128391" y="1696"/>
          <a:ext cx="1229617" cy="73777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Теория инноваций (Й. Шумпетер, Г. Менш)</a:t>
          </a:r>
        </a:p>
      </dsp:txBody>
      <dsp:txXfrm>
        <a:off x="2150000" y="23305"/>
        <a:ext cx="1186399" cy="694552"/>
      </dsp:txXfrm>
    </dsp:sp>
    <dsp:sp modelId="{77B9802C-79DB-4CD2-8B78-8CB8B2830BB6}">
      <dsp:nvSpPr>
        <dsp:cNvPr id="0" name=""/>
        <dsp:cNvSpPr/>
      </dsp:nvSpPr>
      <dsp:spPr>
        <a:xfrm>
          <a:off x="3466215" y="218109"/>
          <a:ext cx="260679" cy="304945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2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3466215" y="279098"/>
        <a:ext cx="182475" cy="182967"/>
      </dsp:txXfrm>
    </dsp:sp>
    <dsp:sp modelId="{7FB770A7-B826-42A9-84A0-472477DF7DBE}">
      <dsp:nvSpPr>
        <dsp:cNvPr id="0" name=""/>
        <dsp:cNvSpPr/>
      </dsp:nvSpPr>
      <dsp:spPr>
        <a:xfrm>
          <a:off x="3849856" y="1696"/>
          <a:ext cx="1229617" cy="73777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Теория полюсов роста (Ф. Перру, Ж. Будвиль)</a:t>
          </a:r>
        </a:p>
      </dsp:txBody>
      <dsp:txXfrm>
        <a:off x="3871465" y="23305"/>
        <a:ext cx="1186399" cy="694552"/>
      </dsp:txXfrm>
    </dsp:sp>
    <dsp:sp modelId="{C8D20B33-8ED1-40C8-A4DD-12014491AA15}">
      <dsp:nvSpPr>
        <dsp:cNvPr id="0" name=""/>
        <dsp:cNvSpPr/>
      </dsp:nvSpPr>
      <dsp:spPr>
        <a:xfrm rot="5400000">
          <a:off x="4334325" y="825540"/>
          <a:ext cx="260679" cy="304945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2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-5400000">
        <a:off x="4373181" y="847673"/>
        <a:ext cx="182967" cy="182475"/>
      </dsp:txXfrm>
    </dsp:sp>
    <dsp:sp modelId="{B3FBF75A-3537-40A7-A5DE-566E4BAFAF35}">
      <dsp:nvSpPr>
        <dsp:cNvPr id="0" name=""/>
        <dsp:cNvSpPr/>
      </dsp:nvSpPr>
      <dsp:spPr>
        <a:xfrm>
          <a:off x="3849856" y="1231314"/>
          <a:ext cx="1229617" cy="73777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Концепция технологических укладов С. Глазьева, Д. Львова</a:t>
          </a:r>
        </a:p>
      </dsp:txBody>
      <dsp:txXfrm>
        <a:off x="3871465" y="1252923"/>
        <a:ext cx="1186399" cy="694552"/>
      </dsp:txXfrm>
    </dsp:sp>
    <dsp:sp modelId="{881577C9-0382-4297-8D82-90F39FDB48B8}">
      <dsp:nvSpPr>
        <dsp:cNvPr id="0" name=""/>
        <dsp:cNvSpPr/>
      </dsp:nvSpPr>
      <dsp:spPr>
        <a:xfrm rot="10800000">
          <a:off x="3480970" y="1447727"/>
          <a:ext cx="260679" cy="304945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2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10800000">
        <a:off x="3559174" y="1508716"/>
        <a:ext cx="182475" cy="182967"/>
      </dsp:txXfrm>
    </dsp:sp>
    <dsp:sp modelId="{3A1C2847-5525-4AC6-88C9-86BBC46BB14C}">
      <dsp:nvSpPr>
        <dsp:cNvPr id="0" name=""/>
        <dsp:cNvSpPr/>
      </dsp:nvSpPr>
      <dsp:spPr>
        <a:xfrm>
          <a:off x="2128391" y="1231314"/>
          <a:ext cx="1229617" cy="73777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Теория кластеров М. Портера</a:t>
          </a:r>
        </a:p>
      </dsp:txBody>
      <dsp:txXfrm>
        <a:off x="2150000" y="1252923"/>
        <a:ext cx="1186399" cy="694552"/>
      </dsp:txXfrm>
    </dsp:sp>
    <dsp:sp modelId="{86CE2E02-5DC3-4DC8-ADBE-A495E4ADF375}">
      <dsp:nvSpPr>
        <dsp:cNvPr id="0" name=""/>
        <dsp:cNvSpPr/>
      </dsp:nvSpPr>
      <dsp:spPr>
        <a:xfrm rot="10800000">
          <a:off x="1759505" y="1447727"/>
          <a:ext cx="260679" cy="304945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2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10800000">
        <a:off x="1837709" y="1508716"/>
        <a:ext cx="182475" cy="182967"/>
      </dsp:txXfrm>
    </dsp:sp>
    <dsp:sp modelId="{4861A70F-C6C7-4160-90B6-6FE1619335A0}">
      <dsp:nvSpPr>
        <dsp:cNvPr id="0" name=""/>
        <dsp:cNvSpPr/>
      </dsp:nvSpPr>
      <dsp:spPr>
        <a:xfrm>
          <a:off x="406925" y="1231314"/>
          <a:ext cx="1229617" cy="73777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Концепция национальной инновационной системы (Б. Лундвалл, Р. Нельсон</a:t>
          </a:r>
        </a:p>
      </dsp:txBody>
      <dsp:txXfrm>
        <a:off x="428534" y="1252923"/>
        <a:ext cx="1186399" cy="694552"/>
      </dsp:txXfrm>
    </dsp:sp>
    <dsp:sp modelId="{F6019D64-D3AD-443C-9461-9BCDFD19CA33}">
      <dsp:nvSpPr>
        <dsp:cNvPr id="0" name=""/>
        <dsp:cNvSpPr/>
      </dsp:nvSpPr>
      <dsp:spPr>
        <a:xfrm rot="5400000">
          <a:off x="891395" y="2055158"/>
          <a:ext cx="260679" cy="304945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2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-5400000">
        <a:off x="930251" y="2077291"/>
        <a:ext cx="182967" cy="182475"/>
      </dsp:txXfrm>
    </dsp:sp>
    <dsp:sp modelId="{C3A4F3DA-9325-4A02-B86C-FA888EC948AB}">
      <dsp:nvSpPr>
        <dsp:cNvPr id="0" name=""/>
        <dsp:cNvSpPr/>
      </dsp:nvSpPr>
      <dsp:spPr>
        <a:xfrm>
          <a:off x="406925" y="2460932"/>
          <a:ext cx="1229617" cy="73777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Концепция региональной инновационной системы Ф. Кука</a:t>
          </a:r>
        </a:p>
      </dsp:txBody>
      <dsp:txXfrm>
        <a:off x="428534" y="2482541"/>
        <a:ext cx="1186399" cy="69455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5">
  <dgm:title val=""/>
  <dgm:desc val=""/>
  <dgm:catLst>
    <dgm:cat type="process" pri="17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axis="self" func="var" arg="dir" op="equ" val="norm">
        <dgm:alg type="snake">
          <dgm:param type="grDir" val="tL"/>
          <dgm:param type="flowDir" val="row"/>
          <dgm:param type="contDir" val="revDir"/>
          <dgm:param type="bkpt" val="endCnv"/>
        </dgm:alg>
      </dgm:if>
      <dgm:else name="Name2">
        <dgm:alg type="snake">
          <dgm:param type="grDir" val="tR"/>
          <dgm:param type="flowDir" val="row"/>
          <dgm:param type="contDir" val="revDir"/>
          <dgm:param type="bkpt" val="endCnv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w" for="ch" forName="sibTrans" refType="w" refFor="ch" refPtType="node" op="equ" fact="0.4"/>
      <dgm:constr type="sp" refType="w" refFor="ch" refForName="sibTrans" op="equ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5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B27EDAA8-EA59-492A-B9EA-2F2E9F65FD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33</Pages>
  <Words>7617</Words>
  <Characters>43420</Characters>
  <Application>Microsoft Office Word</Application>
  <DocSecurity>0</DocSecurity>
  <Lines>361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50936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Анжелика</cp:lastModifiedBy>
  <cp:revision>2</cp:revision>
  <dcterms:created xsi:type="dcterms:W3CDTF">2017-11-10T17:33:00Z</dcterms:created>
  <dcterms:modified xsi:type="dcterms:W3CDTF">2017-11-10T17:33:00Z</dcterms:modified>
</cp:coreProperties>
</file>