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EDC" w:rsidRPr="00834880" w:rsidRDefault="002F2EDC" w:rsidP="002F2EDC">
      <w:pPr>
        <w:suppressAutoHyphens/>
        <w:jc w:val="center"/>
        <w:rPr>
          <w:rFonts w:eastAsia="SimSun" w:cs="Times New Roman"/>
          <w:szCs w:val="28"/>
          <w:lang w:eastAsia="zh-CN"/>
        </w:rPr>
      </w:pPr>
      <w:r w:rsidRPr="00834880">
        <w:rPr>
          <w:rFonts w:eastAsia="SimSun" w:cs="Times New Roman"/>
          <w:szCs w:val="28"/>
          <w:lang w:eastAsia="zh-CN"/>
        </w:rPr>
        <w:t xml:space="preserve">МИНИСТЕРСТВО ОБРАЗОВАНИЯ И НАУКИ РФ ПЕНЗЕНСКИЙ ГОСУДАРСТВЕННЫЙ УНИВЕРСИТЕТ </w:t>
      </w:r>
    </w:p>
    <w:p w:rsidR="002F2EDC" w:rsidRPr="00834880" w:rsidRDefault="002F2EDC" w:rsidP="002F2EDC">
      <w:pPr>
        <w:suppressAutoHyphens/>
        <w:jc w:val="center"/>
        <w:rPr>
          <w:rFonts w:eastAsia="SimSun" w:cs="Times New Roman"/>
          <w:szCs w:val="28"/>
          <w:lang w:eastAsia="zh-CN"/>
        </w:rPr>
      </w:pPr>
      <w:r w:rsidRPr="00834880">
        <w:rPr>
          <w:rFonts w:eastAsia="SimSun" w:cs="Times New Roman"/>
          <w:szCs w:val="28"/>
          <w:lang w:eastAsia="zh-CN"/>
        </w:rPr>
        <w:t>Факультет экономики и управления</w:t>
      </w:r>
    </w:p>
    <w:p w:rsidR="002F2EDC" w:rsidRPr="00834880" w:rsidRDefault="002F2EDC" w:rsidP="002F2EDC">
      <w:pPr>
        <w:suppressAutoHyphens/>
        <w:jc w:val="center"/>
        <w:rPr>
          <w:rFonts w:eastAsia="SimSun" w:cs="Times New Roman"/>
          <w:szCs w:val="28"/>
          <w:lang w:eastAsia="zh-CN"/>
        </w:rPr>
      </w:pPr>
      <w:r w:rsidRPr="00834880">
        <w:rPr>
          <w:rFonts w:eastAsia="SimSun" w:cs="Times New Roman"/>
          <w:szCs w:val="28"/>
          <w:lang w:eastAsia="zh-CN"/>
        </w:rPr>
        <w:t xml:space="preserve"> Кафедра «Менеджмент и экономическая безопасность»</w:t>
      </w:r>
    </w:p>
    <w:p w:rsidR="002F2EDC" w:rsidRPr="00834880" w:rsidRDefault="002F2EDC" w:rsidP="002F2EDC">
      <w:pPr>
        <w:suppressAutoHyphens/>
        <w:rPr>
          <w:rFonts w:eastAsia="SimSun" w:cs="Times New Roman"/>
          <w:szCs w:val="28"/>
          <w:lang w:eastAsia="zh-CN"/>
        </w:rPr>
      </w:pPr>
      <w:r w:rsidRPr="00834880">
        <w:rPr>
          <w:rFonts w:eastAsia="SimSun" w:cs="Times New Roman"/>
          <w:szCs w:val="28"/>
          <w:lang w:eastAsia="zh-CN"/>
        </w:rPr>
        <w:t xml:space="preserve"> </w:t>
      </w:r>
    </w:p>
    <w:p w:rsidR="002F2EDC" w:rsidRPr="00834880" w:rsidRDefault="002F2EDC" w:rsidP="002F2EDC">
      <w:pPr>
        <w:suppressAutoHyphens/>
        <w:rPr>
          <w:rFonts w:eastAsia="SimSun" w:cs="Times New Roman"/>
          <w:szCs w:val="28"/>
          <w:lang w:eastAsia="zh-CN"/>
        </w:rPr>
      </w:pPr>
      <w:r w:rsidRPr="00834880">
        <w:rPr>
          <w:rFonts w:eastAsia="SimSun" w:cs="Times New Roman"/>
          <w:szCs w:val="28"/>
          <w:lang w:eastAsia="zh-CN"/>
        </w:rPr>
        <w:t xml:space="preserve"> </w:t>
      </w:r>
    </w:p>
    <w:p w:rsidR="002F2EDC" w:rsidRPr="00834880" w:rsidRDefault="002F2EDC" w:rsidP="002F2EDC">
      <w:pPr>
        <w:suppressAutoHyphens/>
        <w:jc w:val="center"/>
        <w:rPr>
          <w:rFonts w:eastAsia="SimSun" w:cs="Times New Roman"/>
          <w:szCs w:val="28"/>
          <w:lang w:eastAsia="zh-CN"/>
        </w:rPr>
      </w:pPr>
    </w:p>
    <w:p w:rsidR="002F2EDC" w:rsidRPr="00834880" w:rsidRDefault="002F2EDC" w:rsidP="002F2EDC">
      <w:pPr>
        <w:suppressAutoHyphens/>
        <w:jc w:val="center"/>
        <w:rPr>
          <w:rFonts w:eastAsia="SimSun" w:cs="Times New Roman"/>
          <w:szCs w:val="28"/>
          <w:lang w:eastAsia="zh-CN"/>
        </w:rPr>
      </w:pPr>
    </w:p>
    <w:p w:rsidR="002F2EDC" w:rsidRPr="00834880" w:rsidRDefault="002F2EDC" w:rsidP="002F2EDC">
      <w:pPr>
        <w:suppressAutoHyphens/>
        <w:jc w:val="center"/>
        <w:rPr>
          <w:rFonts w:eastAsia="SimSun" w:cs="Times New Roman"/>
          <w:szCs w:val="28"/>
          <w:lang w:eastAsia="zh-CN"/>
        </w:rPr>
      </w:pPr>
    </w:p>
    <w:p w:rsidR="002F2EDC" w:rsidRPr="00834880" w:rsidRDefault="002F2EDC" w:rsidP="002F2EDC">
      <w:pPr>
        <w:suppressAutoHyphens/>
        <w:jc w:val="center"/>
        <w:rPr>
          <w:rFonts w:eastAsia="SimSun" w:cs="Times New Roman"/>
          <w:szCs w:val="28"/>
          <w:lang w:eastAsia="zh-CN"/>
        </w:rPr>
      </w:pPr>
    </w:p>
    <w:p w:rsidR="002F2EDC" w:rsidRPr="00834880" w:rsidRDefault="002F2EDC" w:rsidP="002F2EDC">
      <w:pPr>
        <w:suppressAutoHyphens/>
        <w:ind w:firstLine="0"/>
        <w:jc w:val="center"/>
        <w:rPr>
          <w:rFonts w:eastAsia="SimSun" w:cs="Times New Roman"/>
          <w:b/>
          <w:bCs/>
          <w:szCs w:val="28"/>
          <w:lang w:eastAsia="zh-CN"/>
        </w:rPr>
      </w:pPr>
      <w:r w:rsidRPr="00834880">
        <w:rPr>
          <w:rFonts w:eastAsia="SimSun" w:cs="Times New Roman"/>
          <w:b/>
          <w:bCs/>
          <w:szCs w:val="28"/>
          <w:lang w:eastAsia="zh-CN"/>
        </w:rPr>
        <w:t>Контрольная работа</w:t>
      </w:r>
    </w:p>
    <w:p w:rsidR="002F2EDC" w:rsidRPr="00834880" w:rsidRDefault="002F2EDC" w:rsidP="002F2EDC">
      <w:pPr>
        <w:suppressAutoHyphens/>
        <w:ind w:firstLine="0"/>
        <w:jc w:val="center"/>
        <w:rPr>
          <w:rFonts w:eastAsia="SimSun" w:cs="Times New Roman"/>
          <w:szCs w:val="28"/>
          <w:lang w:eastAsia="zh-CN"/>
        </w:rPr>
      </w:pPr>
      <w:r w:rsidRPr="00834880">
        <w:rPr>
          <w:rFonts w:eastAsia="SimSun" w:cs="Times New Roman"/>
          <w:szCs w:val="28"/>
          <w:lang w:eastAsia="zh-CN"/>
        </w:rPr>
        <w:t>По дисциплине: «</w:t>
      </w:r>
      <w:r>
        <w:rPr>
          <w:rFonts w:eastAsia="SimSun" w:cs="Times New Roman"/>
          <w:szCs w:val="28"/>
          <w:lang w:eastAsia="zh-CN"/>
        </w:rPr>
        <w:t>Инновационный менеджмент</w:t>
      </w:r>
      <w:r w:rsidRPr="00834880">
        <w:rPr>
          <w:rFonts w:eastAsia="SimSun" w:cs="Times New Roman"/>
          <w:szCs w:val="28"/>
          <w:lang w:eastAsia="zh-CN"/>
        </w:rPr>
        <w:t>»</w:t>
      </w:r>
    </w:p>
    <w:p w:rsidR="002F2EDC" w:rsidRPr="00834880" w:rsidRDefault="002F2EDC" w:rsidP="002F2EDC">
      <w:pPr>
        <w:suppressAutoHyphens/>
        <w:ind w:firstLine="0"/>
        <w:jc w:val="center"/>
        <w:rPr>
          <w:rFonts w:eastAsia="SimSun" w:cs="Times New Roman"/>
          <w:szCs w:val="28"/>
          <w:lang w:eastAsia="zh-CN"/>
        </w:rPr>
      </w:pPr>
      <w:r w:rsidRPr="00834880">
        <w:rPr>
          <w:rFonts w:eastAsia="SimSun" w:cs="Times New Roman"/>
          <w:szCs w:val="28"/>
          <w:lang w:eastAsia="zh-CN"/>
        </w:rPr>
        <w:t>Вариант №2</w:t>
      </w:r>
    </w:p>
    <w:p w:rsidR="002F2EDC" w:rsidRPr="00834880" w:rsidRDefault="002F2EDC" w:rsidP="002F2EDC">
      <w:pPr>
        <w:suppressAutoHyphens/>
        <w:rPr>
          <w:rFonts w:eastAsia="SimSun" w:cs="Times New Roman"/>
          <w:szCs w:val="28"/>
          <w:lang w:eastAsia="zh-CN"/>
        </w:rPr>
      </w:pPr>
      <w:r w:rsidRPr="00834880">
        <w:rPr>
          <w:rFonts w:eastAsia="SimSun" w:cs="Times New Roman"/>
          <w:szCs w:val="28"/>
          <w:lang w:eastAsia="zh-CN"/>
        </w:rPr>
        <w:t xml:space="preserve"> </w:t>
      </w:r>
    </w:p>
    <w:p w:rsidR="002F2EDC" w:rsidRPr="00834880" w:rsidRDefault="002F2EDC" w:rsidP="002F2EDC">
      <w:pPr>
        <w:suppressAutoHyphens/>
        <w:rPr>
          <w:rFonts w:eastAsia="SimSun" w:cs="Times New Roman"/>
          <w:szCs w:val="28"/>
          <w:lang w:eastAsia="zh-CN"/>
        </w:rPr>
      </w:pPr>
      <w:r w:rsidRPr="00834880">
        <w:rPr>
          <w:rFonts w:eastAsia="SimSun" w:cs="Times New Roman"/>
          <w:szCs w:val="28"/>
          <w:lang w:eastAsia="zh-CN"/>
        </w:rPr>
        <w:t xml:space="preserve"> </w:t>
      </w:r>
    </w:p>
    <w:p w:rsidR="002F2EDC" w:rsidRPr="00834880" w:rsidRDefault="002F2EDC" w:rsidP="002F2EDC">
      <w:pPr>
        <w:suppressAutoHyphens/>
        <w:jc w:val="right"/>
        <w:rPr>
          <w:rFonts w:eastAsia="SimSun" w:cs="Times New Roman"/>
          <w:szCs w:val="28"/>
          <w:lang w:eastAsia="zh-CN"/>
        </w:rPr>
      </w:pPr>
      <w:r w:rsidRPr="00834880">
        <w:rPr>
          <w:rFonts w:eastAsia="SimSun" w:cs="Times New Roman"/>
          <w:szCs w:val="28"/>
          <w:lang w:eastAsia="zh-CN"/>
        </w:rPr>
        <w:t xml:space="preserve">                                                                                                                       Выполнил студент:                                                              </w:t>
      </w:r>
    </w:p>
    <w:p w:rsidR="002F2EDC" w:rsidRPr="00834880" w:rsidRDefault="002F2EDC" w:rsidP="002F2EDC">
      <w:pPr>
        <w:suppressAutoHyphens/>
        <w:jc w:val="right"/>
        <w:rPr>
          <w:rFonts w:eastAsia="SimSun" w:cs="Times New Roman"/>
          <w:szCs w:val="28"/>
          <w:lang w:eastAsia="zh-CN"/>
        </w:rPr>
      </w:pPr>
      <w:r w:rsidRPr="00834880">
        <w:rPr>
          <w:rFonts w:eastAsia="SimSun" w:cs="Times New Roman"/>
          <w:szCs w:val="28"/>
          <w:lang w:eastAsia="zh-CN"/>
        </w:rPr>
        <w:t xml:space="preserve">    гр. 15ТЗЭМ31</w:t>
      </w:r>
    </w:p>
    <w:p w:rsidR="002F2EDC" w:rsidRPr="00834880" w:rsidRDefault="002F2EDC" w:rsidP="002F2EDC">
      <w:pPr>
        <w:suppressAutoHyphens/>
        <w:jc w:val="right"/>
        <w:rPr>
          <w:rFonts w:eastAsia="SimSun" w:cs="Times New Roman"/>
          <w:szCs w:val="28"/>
          <w:lang w:eastAsia="zh-CN"/>
        </w:rPr>
      </w:pPr>
      <w:r w:rsidRPr="00834880">
        <w:rPr>
          <w:rFonts w:eastAsia="SimSun" w:cs="Times New Roman"/>
          <w:szCs w:val="28"/>
          <w:lang w:eastAsia="zh-CN"/>
        </w:rPr>
        <w:t xml:space="preserve"> </w:t>
      </w:r>
      <w:proofErr w:type="spellStart"/>
      <w:r w:rsidRPr="00834880">
        <w:rPr>
          <w:rFonts w:eastAsia="SimSun" w:cs="Times New Roman"/>
          <w:szCs w:val="28"/>
          <w:lang w:eastAsia="zh-CN"/>
        </w:rPr>
        <w:t>Казикина</w:t>
      </w:r>
      <w:proofErr w:type="spellEnd"/>
      <w:r w:rsidRPr="00834880">
        <w:rPr>
          <w:rFonts w:eastAsia="SimSun" w:cs="Times New Roman"/>
          <w:szCs w:val="28"/>
          <w:lang w:eastAsia="zh-CN"/>
        </w:rPr>
        <w:t xml:space="preserve"> А. П.</w:t>
      </w:r>
    </w:p>
    <w:p w:rsidR="002F2EDC" w:rsidRPr="00834880" w:rsidRDefault="002F2EDC" w:rsidP="002F2EDC">
      <w:pPr>
        <w:suppressAutoHyphens/>
        <w:rPr>
          <w:rFonts w:eastAsia="SimSun" w:cs="Times New Roman"/>
          <w:szCs w:val="28"/>
          <w:lang w:eastAsia="zh-CN"/>
        </w:rPr>
      </w:pPr>
      <w:r w:rsidRPr="00834880">
        <w:rPr>
          <w:rFonts w:eastAsia="SimSun" w:cs="Times New Roman"/>
          <w:szCs w:val="28"/>
          <w:lang w:eastAsia="zh-CN"/>
        </w:rPr>
        <w:t xml:space="preserve"> </w:t>
      </w:r>
    </w:p>
    <w:p w:rsidR="002F2EDC" w:rsidRPr="00834880" w:rsidRDefault="002F2EDC" w:rsidP="002F2EDC">
      <w:pPr>
        <w:suppressAutoHyphens/>
        <w:jc w:val="right"/>
        <w:rPr>
          <w:rFonts w:eastAsia="SimSun" w:cs="Times New Roman"/>
          <w:szCs w:val="28"/>
          <w:lang w:eastAsia="zh-CN"/>
        </w:rPr>
      </w:pPr>
      <w:r w:rsidRPr="00834880">
        <w:rPr>
          <w:rFonts w:eastAsia="SimSun" w:cs="Times New Roman"/>
          <w:szCs w:val="28"/>
          <w:lang w:eastAsia="zh-CN"/>
        </w:rPr>
        <w:t xml:space="preserve">                                                 </w:t>
      </w:r>
      <w:r>
        <w:rPr>
          <w:rFonts w:eastAsia="SimSun" w:cs="Times New Roman"/>
          <w:szCs w:val="28"/>
          <w:lang w:eastAsia="zh-CN"/>
        </w:rPr>
        <w:t xml:space="preserve">                    Проверила: </w:t>
      </w:r>
    </w:p>
    <w:p w:rsidR="002F2EDC" w:rsidRPr="00834880" w:rsidRDefault="002F2EDC" w:rsidP="002F2EDC">
      <w:pPr>
        <w:suppressAutoHyphens/>
        <w:jc w:val="right"/>
        <w:rPr>
          <w:rFonts w:eastAsia="SimSun" w:cs="Times New Roman"/>
          <w:szCs w:val="28"/>
          <w:lang w:eastAsia="zh-CN"/>
        </w:rPr>
      </w:pPr>
      <w:proofErr w:type="spellStart"/>
      <w:r>
        <w:rPr>
          <w:rFonts w:eastAsia="SimSun" w:cs="Times New Roman"/>
          <w:szCs w:val="28"/>
          <w:lang w:eastAsia="zh-CN"/>
        </w:rPr>
        <w:t>Тугускина</w:t>
      </w:r>
      <w:proofErr w:type="spellEnd"/>
      <w:r>
        <w:rPr>
          <w:rFonts w:eastAsia="SimSun" w:cs="Times New Roman"/>
          <w:szCs w:val="28"/>
          <w:lang w:eastAsia="zh-CN"/>
        </w:rPr>
        <w:t xml:space="preserve"> Г. Н.</w:t>
      </w:r>
    </w:p>
    <w:p w:rsidR="002F2EDC" w:rsidRPr="00834880" w:rsidRDefault="002F2EDC" w:rsidP="002F2EDC">
      <w:pPr>
        <w:suppressAutoHyphens/>
        <w:rPr>
          <w:rFonts w:eastAsia="SimSun" w:cs="Times New Roman"/>
          <w:szCs w:val="28"/>
          <w:lang w:eastAsia="zh-CN"/>
        </w:rPr>
      </w:pPr>
      <w:r w:rsidRPr="00834880">
        <w:rPr>
          <w:rFonts w:eastAsia="SimSun" w:cs="Times New Roman"/>
          <w:szCs w:val="28"/>
          <w:lang w:eastAsia="zh-CN"/>
        </w:rPr>
        <w:t xml:space="preserve"> </w:t>
      </w:r>
    </w:p>
    <w:p w:rsidR="002F2EDC" w:rsidRPr="00834880" w:rsidRDefault="002F2EDC" w:rsidP="002F2EDC">
      <w:pPr>
        <w:suppressAutoHyphens/>
        <w:rPr>
          <w:rFonts w:eastAsia="SimSun" w:cs="Times New Roman"/>
          <w:szCs w:val="28"/>
          <w:lang w:eastAsia="zh-CN"/>
        </w:rPr>
      </w:pPr>
      <w:r w:rsidRPr="00834880">
        <w:rPr>
          <w:rFonts w:eastAsia="SimSun" w:cs="Times New Roman"/>
          <w:szCs w:val="28"/>
          <w:lang w:eastAsia="zh-CN"/>
        </w:rPr>
        <w:t xml:space="preserve"> </w:t>
      </w:r>
    </w:p>
    <w:p w:rsidR="002F2EDC" w:rsidRPr="00834880" w:rsidRDefault="002F2EDC" w:rsidP="002F2EDC">
      <w:pPr>
        <w:suppressAutoHyphens/>
        <w:rPr>
          <w:rFonts w:eastAsia="SimSun" w:cs="Times New Roman"/>
          <w:szCs w:val="28"/>
          <w:lang w:eastAsia="zh-CN"/>
        </w:rPr>
      </w:pPr>
      <w:r w:rsidRPr="00834880">
        <w:rPr>
          <w:rFonts w:eastAsia="SimSun" w:cs="Times New Roman"/>
          <w:szCs w:val="28"/>
          <w:lang w:eastAsia="zh-CN"/>
        </w:rPr>
        <w:t xml:space="preserve"> </w:t>
      </w:r>
    </w:p>
    <w:p w:rsidR="002F2EDC" w:rsidRPr="00834880" w:rsidRDefault="002F2EDC" w:rsidP="002F2EDC">
      <w:pPr>
        <w:suppressAutoHyphens/>
        <w:rPr>
          <w:rFonts w:eastAsia="SimSun" w:cs="Times New Roman"/>
          <w:szCs w:val="28"/>
          <w:lang w:eastAsia="zh-CN"/>
        </w:rPr>
      </w:pPr>
      <w:r w:rsidRPr="00834880">
        <w:rPr>
          <w:rFonts w:eastAsia="SimSun" w:cs="Times New Roman"/>
          <w:szCs w:val="28"/>
          <w:lang w:eastAsia="zh-CN"/>
        </w:rPr>
        <w:t xml:space="preserve">                                                    </w:t>
      </w:r>
    </w:p>
    <w:p w:rsidR="002F2EDC" w:rsidRPr="00834880" w:rsidRDefault="002F2EDC" w:rsidP="002F2EDC">
      <w:pPr>
        <w:suppressAutoHyphens/>
        <w:rPr>
          <w:rFonts w:eastAsia="SimSun" w:cs="Times New Roman"/>
          <w:szCs w:val="28"/>
          <w:lang w:eastAsia="zh-CN"/>
        </w:rPr>
      </w:pPr>
    </w:p>
    <w:p w:rsidR="002F2EDC" w:rsidRPr="00834880" w:rsidRDefault="002F2EDC" w:rsidP="002F2EDC">
      <w:pPr>
        <w:suppressAutoHyphens/>
        <w:rPr>
          <w:rFonts w:eastAsia="SimSun" w:cs="Times New Roman"/>
          <w:szCs w:val="28"/>
          <w:lang w:eastAsia="zh-CN"/>
        </w:rPr>
      </w:pPr>
    </w:p>
    <w:p w:rsidR="002F2EDC" w:rsidRPr="00834880" w:rsidRDefault="002F2EDC" w:rsidP="002F2EDC">
      <w:pPr>
        <w:suppressAutoHyphens/>
        <w:ind w:firstLine="0"/>
        <w:jc w:val="center"/>
        <w:rPr>
          <w:rFonts w:eastAsia="SimSun" w:cs="Times New Roman"/>
          <w:szCs w:val="28"/>
          <w:lang w:eastAsia="zh-CN"/>
        </w:rPr>
      </w:pPr>
    </w:p>
    <w:p w:rsidR="002F2EDC" w:rsidRPr="00834880" w:rsidRDefault="002F2EDC" w:rsidP="002F2EDC">
      <w:pPr>
        <w:suppressAutoHyphens/>
        <w:ind w:firstLine="0"/>
        <w:jc w:val="center"/>
        <w:rPr>
          <w:rFonts w:eastAsia="SimSun" w:cs="Times New Roman"/>
          <w:szCs w:val="28"/>
          <w:lang w:eastAsia="zh-CN"/>
        </w:rPr>
      </w:pPr>
      <w:r w:rsidRPr="00834880">
        <w:rPr>
          <w:rFonts w:eastAsia="SimSun" w:cs="Times New Roman"/>
          <w:szCs w:val="28"/>
          <w:lang w:eastAsia="zh-CN"/>
        </w:rPr>
        <w:t>Пенза  2018</w:t>
      </w:r>
    </w:p>
    <w:p w:rsidR="00B87242" w:rsidRDefault="00B87242" w:rsidP="00B87242">
      <w:pPr>
        <w:ind w:firstLine="0"/>
        <w:jc w:val="center"/>
        <w:rPr>
          <w:b/>
        </w:rPr>
      </w:pPr>
      <w:r w:rsidRPr="00B87242">
        <w:rPr>
          <w:b/>
        </w:rPr>
        <w:lastRenderedPageBreak/>
        <w:t>Содержание</w:t>
      </w:r>
    </w:p>
    <w:sdt>
      <w:sdtPr>
        <w:rPr>
          <w:rFonts w:ascii="Times New Roman" w:eastAsiaTheme="minorHAnsi" w:hAnsi="Times New Roman" w:cstheme="minorBidi"/>
          <w:b w:val="0"/>
          <w:bCs w:val="0"/>
          <w:color w:val="auto"/>
          <w:szCs w:val="22"/>
          <w:lang w:eastAsia="en-US"/>
        </w:rPr>
        <w:id w:val="1469936677"/>
        <w:docPartObj>
          <w:docPartGallery w:val="Table of Contents"/>
          <w:docPartUnique/>
        </w:docPartObj>
      </w:sdtPr>
      <w:sdtEndPr/>
      <w:sdtContent>
        <w:p w:rsidR="00767146" w:rsidRDefault="00767146">
          <w:pPr>
            <w:pStyle w:val="ae"/>
          </w:pPr>
        </w:p>
        <w:p w:rsidR="00767146" w:rsidRDefault="00767146" w:rsidP="00767146">
          <w:pPr>
            <w:pStyle w:val="11"/>
            <w:tabs>
              <w:tab w:val="right" w:leader="dot" w:pos="9345"/>
            </w:tabs>
            <w:ind w:firstLine="0"/>
            <w:rPr>
              <w:noProof/>
            </w:rPr>
          </w:pPr>
          <w:r>
            <w:fldChar w:fldCharType="begin"/>
          </w:r>
          <w:r>
            <w:instrText xml:space="preserve"> TOC \o "1-3" \h \z \u </w:instrText>
          </w:r>
          <w:r>
            <w:fldChar w:fldCharType="separate"/>
          </w:r>
          <w:hyperlink w:anchor="_Toc512240477" w:history="1">
            <w:r w:rsidRPr="009F61D8">
              <w:rPr>
                <w:rStyle w:val="ad"/>
                <w:noProof/>
              </w:rPr>
              <w:t>1. Продуктово-тематическое планирование</w:t>
            </w:r>
            <w:r>
              <w:rPr>
                <w:noProof/>
                <w:webHidden/>
              </w:rPr>
              <w:tab/>
            </w:r>
            <w:r>
              <w:rPr>
                <w:noProof/>
                <w:webHidden/>
              </w:rPr>
              <w:fldChar w:fldCharType="begin"/>
            </w:r>
            <w:r>
              <w:rPr>
                <w:noProof/>
                <w:webHidden/>
              </w:rPr>
              <w:instrText xml:space="preserve"> PAGEREF _Toc512240477 \h </w:instrText>
            </w:r>
            <w:r>
              <w:rPr>
                <w:noProof/>
                <w:webHidden/>
              </w:rPr>
            </w:r>
            <w:r>
              <w:rPr>
                <w:noProof/>
                <w:webHidden/>
              </w:rPr>
              <w:fldChar w:fldCharType="separate"/>
            </w:r>
            <w:r>
              <w:rPr>
                <w:noProof/>
                <w:webHidden/>
              </w:rPr>
              <w:t>3</w:t>
            </w:r>
            <w:r>
              <w:rPr>
                <w:noProof/>
                <w:webHidden/>
              </w:rPr>
              <w:fldChar w:fldCharType="end"/>
            </w:r>
          </w:hyperlink>
        </w:p>
        <w:p w:rsidR="00767146" w:rsidRDefault="00685C91" w:rsidP="00767146">
          <w:pPr>
            <w:pStyle w:val="11"/>
            <w:tabs>
              <w:tab w:val="right" w:leader="dot" w:pos="9345"/>
            </w:tabs>
            <w:ind w:firstLine="0"/>
            <w:rPr>
              <w:noProof/>
            </w:rPr>
          </w:pPr>
          <w:hyperlink w:anchor="_Toc512240478" w:history="1">
            <w:r w:rsidR="00767146" w:rsidRPr="009F61D8">
              <w:rPr>
                <w:rStyle w:val="ad"/>
                <w:noProof/>
              </w:rPr>
              <w:t>2. Методы уменьшения риска инновационных проектов</w:t>
            </w:r>
            <w:r w:rsidR="00767146">
              <w:rPr>
                <w:noProof/>
                <w:webHidden/>
              </w:rPr>
              <w:tab/>
            </w:r>
            <w:r w:rsidR="00767146">
              <w:rPr>
                <w:noProof/>
                <w:webHidden/>
              </w:rPr>
              <w:fldChar w:fldCharType="begin"/>
            </w:r>
            <w:r w:rsidR="00767146">
              <w:rPr>
                <w:noProof/>
                <w:webHidden/>
              </w:rPr>
              <w:instrText xml:space="preserve"> PAGEREF _Toc512240478 \h </w:instrText>
            </w:r>
            <w:r w:rsidR="00767146">
              <w:rPr>
                <w:noProof/>
                <w:webHidden/>
              </w:rPr>
            </w:r>
            <w:r w:rsidR="00767146">
              <w:rPr>
                <w:noProof/>
                <w:webHidden/>
              </w:rPr>
              <w:fldChar w:fldCharType="separate"/>
            </w:r>
            <w:r w:rsidR="00767146">
              <w:rPr>
                <w:noProof/>
                <w:webHidden/>
              </w:rPr>
              <w:t>8</w:t>
            </w:r>
            <w:r w:rsidR="00767146">
              <w:rPr>
                <w:noProof/>
                <w:webHidden/>
              </w:rPr>
              <w:fldChar w:fldCharType="end"/>
            </w:r>
          </w:hyperlink>
        </w:p>
        <w:p w:rsidR="00767146" w:rsidRDefault="00685C91" w:rsidP="00767146">
          <w:pPr>
            <w:pStyle w:val="11"/>
            <w:tabs>
              <w:tab w:val="right" w:leader="dot" w:pos="9345"/>
            </w:tabs>
            <w:ind w:firstLine="0"/>
            <w:rPr>
              <w:noProof/>
            </w:rPr>
          </w:pPr>
          <w:hyperlink w:anchor="_Toc512240479" w:history="1">
            <w:r w:rsidR="00767146" w:rsidRPr="009F61D8">
              <w:rPr>
                <w:rStyle w:val="ad"/>
                <w:noProof/>
              </w:rPr>
              <w:t>3. Управление персоналом в инновационной деятельности</w:t>
            </w:r>
            <w:r w:rsidR="00767146">
              <w:rPr>
                <w:noProof/>
                <w:webHidden/>
              </w:rPr>
              <w:tab/>
            </w:r>
            <w:r w:rsidR="00767146">
              <w:rPr>
                <w:noProof/>
                <w:webHidden/>
              </w:rPr>
              <w:fldChar w:fldCharType="begin"/>
            </w:r>
            <w:r w:rsidR="00767146">
              <w:rPr>
                <w:noProof/>
                <w:webHidden/>
              </w:rPr>
              <w:instrText xml:space="preserve"> PAGEREF _Toc512240479 \h </w:instrText>
            </w:r>
            <w:r w:rsidR="00767146">
              <w:rPr>
                <w:noProof/>
                <w:webHidden/>
              </w:rPr>
            </w:r>
            <w:r w:rsidR="00767146">
              <w:rPr>
                <w:noProof/>
                <w:webHidden/>
              </w:rPr>
              <w:fldChar w:fldCharType="separate"/>
            </w:r>
            <w:r w:rsidR="00767146">
              <w:rPr>
                <w:noProof/>
                <w:webHidden/>
              </w:rPr>
              <w:t>15</w:t>
            </w:r>
            <w:r w:rsidR="00767146">
              <w:rPr>
                <w:noProof/>
                <w:webHidden/>
              </w:rPr>
              <w:fldChar w:fldCharType="end"/>
            </w:r>
          </w:hyperlink>
        </w:p>
        <w:p w:rsidR="00767146" w:rsidRDefault="00685C91" w:rsidP="00767146">
          <w:pPr>
            <w:pStyle w:val="11"/>
            <w:tabs>
              <w:tab w:val="right" w:leader="dot" w:pos="9345"/>
            </w:tabs>
            <w:ind w:firstLine="0"/>
            <w:rPr>
              <w:noProof/>
            </w:rPr>
          </w:pPr>
          <w:hyperlink w:anchor="_Toc512240480" w:history="1">
            <w:r w:rsidR="00767146" w:rsidRPr="009F61D8">
              <w:rPr>
                <w:rStyle w:val="ad"/>
                <w:noProof/>
              </w:rPr>
              <w:t>Список литературы</w:t>
            </w:r>
            <w:r w:rsidR="00767146">
              <w:rPr>
                <w:noProof/>
                <w:webHidden/>
              </w:rPr>
              <w:tab/>
            </w:r>
            <w:r w:rsidR="00767146">
              <w:rPr>
                <w:noProof/>
                <w:webHidden/>
              </w:rPr>
              <w:fldChar w:fldCharType="begin"/>
            </w:r>
            <w:r w:rsidR="00767146">
              <w:rPr>
                <w:noProof/>
                <w:webHidden/>
              </w:rPr>
              <w:instrText xml:space="preserve"> PAGEREF _Toc512240480 \h </w:instrText>
            </w:r>
            <w:r w:rsidR="00767146">
              <w:rPr>
                <w:noProof/>
                <w:webHidden/>
              </w:rPr>
            </w:r>
            <w:r w:rsidR="00767146">
              <w:rPr>
                <w:noProof/>
                <w:webHidden/>
              </w:rPr>
              <w:fldChar w:fldCharType="separate"/>
            </w:r>
            <w:r w:rsidR="00767146">
              <w:rPr>
                <w:noProof/>
                <w:webHidden/>
              </w:rPr>
              <w:t>19</w:t>
            </w:r>
            <w:r w:rsidR="00767146">
              <w:rPr>
                <w:noProof/>
                <w:webHidden/>
              </w:rPr>
              <w:fldChar w:fldCharType="end"/>
            </w:r>
          </w:hyperlink>
        </w:p>
        <w:p w:rsidR="00767146" w:rsidRDefault="00767146">
          <w:r>
            <w:rPr>
              <w:b/>
              <w:bCs/>
            </w:rPr>
            <w:fldChar w:fldCharType="end"/>
          </w:r>
        </w:p>
      </w:sdtContent>
    </w:sdt>
    <w:p w:rsidR="00767146" w:rsidRPr="00B87242" w:rsidRDefault="00767146" w:rsidP="00B87242">
      <w:pPr>
        <w:ind w:firstLine="0"/>
        <w:jc w:val="center"/>
        <w:rPr>
          <w:b/>
        </w:rPr>
      </w:pPr>
    </w:p>
    <w:p w:rsidR="00B87242" w:rsidRDefault="00B87242">
      <w:pPr>
        <w:spacing w:after="200" w:line="276" w:lineRule="auto"/>
        <w:ind w:firstLine="0"/>
        <w:jc w:val="left"/>
        <w:rPr>
          <w:rFonts w:eastAsiaTheme="majorEastAsia" w:cstheme="majorBidi"/>
          <w:b/>
          <w:bCs/>
          <w:szCs w:val="28"/>
        </w:rPr>
      </w:pPr>
      <w:r>
        <w:br w:type="page"/>
      </w:r>
    </w:p>
    <w:p w:rsidR="00B87242" w:rsidRDefault="00EA2E1F" w:rsidP="00186EFD">
      <w:pPr>
        <w:pStyle w:val="1"/>
      </w:pPr>
      <w:bookmarkStart w:id="0" w:name="_Toc512240477"/>
      <w:r w:rsidRPr="00B87242">
        <w:lastRenderedPageBreak/>
        <w:t xml:space="preserve">1. </w:t>
      </w:r>
      <w:proofErr w:type="spellStart"/>
      <w:r w:rsidRPr="00B87242">
        <w:t>Продуктово</w:t>
      </w:r>
      <w:proofErr w:type="spellEnd"/>
      <w:r w:rsidRPr="00B87242">
        <w:t>-тематическое планирование</w:t>
      </w:r>
      <w:bookmarkEnd w:id="0"/>
    </w:p>
    <w:p w:rsidR="00D27203" w:rsidRPr="00D27203" w:rsidRDefault="00D27203" w:rsidP="00D27203">
      <w:proofErr w:type="spellStart"/>
      <w:r w:rsidRPr="00D27203">
        <w:t>Продуктово</w:t>
      </w:r>
      <w:proofErr w:type="spellEnd"/>
      <w:r w:rsidRPr="00D27203">
        <w:t xml:space="preserve">-тематическое планирование составляет важнейший элемент системы внутрифирменного планирования инноваций на всех уровнях управления. Его задачи заключаются в определении направлений и пропорций в научно-техническом развитии </w:t>
      </w:r>
      <w:r w:rsidR="00777723">
        <w:t>предприятия</w:t>
      </w:r>
      <w:r w:rsidRPr="00D27203">
        <w:t>, установлении тематики НИОКР, формировании структуры перспективной производственной программы выпуска инновационной продукции и осуществления всего комплекса инновационных мероприятий</w:t>
      </w:r>
    </w:p>
    <w:p w:rsidR="00D27203" w:rsidRPr="00D27203" w:rsidRDefault="00D27203" w:rsidP="00D27203">
      <w:r w:rsidRPr="00D27203">
        <w:t xml:space="preserve">В самостоятельных НИИ и КБ </w:t>
      </w:r>
      <w:proofErr w:type="spellStart"/>
      <w:r w:rsidRPr="00D27203">
        <w:t>продуктово</w:t>
      </w:r>
      <w:proofErr w:type="spellEnd"/>
      <w:r w:rsidRPr="00D27203">
        <w:t xml:space="preserve">-тематическое планирование представлено формированием тематического плана, содержащего перечень НИОКР и инновационных проектов, направленных на реализацию принятой концепции перспективного развития </w:t>
      </w:r>
      <w:r w:rsidR="00777723">
        <w:t>инновационного продукта</w:t>
      </w:r>
      <w:r w:rsidRPr="00D27203">
        <w:t xml:space="preserve">. В процессе тематического планирования осуществляется отбор важнейшей тематики, оценка ее эффективности и уровня качества планируемых результатов, определяются исполнители, сроки и сметная стоимость выполнения работ. От качества и уровня обоснованности расчетов при формировании тематического плана </w:t>
      </w:r>
      <w:r w:rsidR="00777723">
        <w:t>инновационного продукта</w:t>
      </w:r>
      <w:r w:rsidRPr="00D27203">
        <w:t xml:space="preserve"> зависят научно-технические и хозяйственные результаты его деятельности в текущем периоде и в перспективе.</w:t>
      </w:r>
    </w:p>
    <w:p w:rsidR="00D27203" w:rsidRPr="00D27203" w:rsidRDefault="00D27203" w:rsidP="00D27203">
      <w:r w:rsidRPr="00D27203">
        <w:t xml:space="preserve">На </w:t>
      </w:r>
      <w:r w:rsidR="00777723">
        <w:t>инновационных предприятиях</w:t>
      </w:r>
      <w:r w:rsidRPr="00D27203">
        <w:t xml:space="preserve">, реализующих заключительные стадии инновационного процесса, </w:t>
      </w:r>
      <w:proofErr w:type="spellStart"/>
      <w:r w:rsidRPr="00D27203">
        <w:t>продуктово</w:t>
      </w:r>
      <w:proofErr w:type="spellEnd"/>
      <w:r w:rsidRPr="00D27203">
        <w:t xml:space="preserve">-тематическое планирование выражается в формировании </w:t>
      </w:r>
      <w:proofErr w:type="spellStart"/>
      <w:r w:rsidRPr="00D27203">
        <w:t>продуктово</w:t>
      </w:r>
      <w:proofErr w:type="spellEnd"/>
      <w:r w:rsidRPr="00D27203">
        <w:t xml:space="preserve">-рыночного портфеля предприятия и планировании его производственной программы на определенный период времени. Производственная программа </w:t>
      </w:r>
      <w:r w:rsidR="00777723">
        <w:t>инновационного предприятия</w:t>
      </w:r>
      <w:r w:rsidRPr="00D27203">
        <w:t xml:space="preserve"> определяет номенклатуру и объем производства конкретных видов инновационной продукции. При ее формировании осуществляется изучение конъюнктуры рынка, ценовой политики </w:t>
      </w:r>
      <w:proofErr w:type="spellStart"/>
      <w:r w:rsidR="00777723">
        <w:t>инноывационного</w:t>
      </w:r>
      <w:proofErr w:type="spellEnd"/>
      <w:r w:rsidR="00777723">
        <w:t xml:space="preserve"> предприятия</w:t>
      </w:r>
      <w:r w:rsidRPr="00D27203">
        <w:t xml:space="preserve">, </w:t>
      </w:r>
      <w:proofErr w:type="spellStart"/>
      <w:r w:rsidRPr="00D27203">
        <w:t>калькулирование</w:t>
      </w:r>
      <w:proofErr w:type="spellEnd"/>
      <w:r w:rsidRPr="00D27203">
        <w:t xml:space="preserve"> и планирование затрат на производство новой продукции, осуществление мероприятий по технической подготовке производства новой </w:t>
      </w:r>
      <w:r w:rsidRPr="00D27203">
        <w:lastRenderedPageBreak/>
        <w:t>продукции, распределение производственных заданий по цехам и участкам, а также по отрезкам времени календарного периода.</w:t>
      </w:r>
    </w:p>
    <w:p w:rsidR="00D27203" w:rsidRPr="00D27203" w:rsidRDefault="00D27203" w:rsidP="00D27203">
      <w:proofErr w:type="spellStart"/>
      <w:r w:rsidRPr="00D27203">
        <w:t>Продуктово</w:t>
      </w:r>
      <w:proofErr w:type="spellEnd"/>
      <w:r w:rsidRPr="00D27203">
        <w:t xml:space="preserve">-тематическое планирование в НИИ, КБ и ИП представляет собой сложный и длительный процесс сбора и переработки научно-технической и конъюнктурно-рыночной информации о потенциале </w:t>
      </w:r>
      <w:r w:rsidR="00C6523C">
        <w:t>инновационного предприятия</w:t>
      </w:r>
      <w:r w:rsidRPr="00D27203">
        <w:t>, состоянии рынков и конкурентов, прогнозах развития отдельных направлений науки и техники, а также анализа имеющихся обязатель</w:t>
      </w:r>
      <w:proofErr w:type="gramStart"/>
      <w:r w:rsidRPr="00D27203">
        <w:t>ств пр</w:t>
      </w:r>
      <w:proofErr w:type="gramEnd"/>
      <w:r w:rsidRPr="00D27203">
        <w:t xml:space="preserve">едприятия по государственным и прочим заказам. Эта область плановой работы относится в большей степени к высшему звену менеджмента на </w:t>
      </w:r>
      <w:r w:rsidR="00C6523C">
        <w:t>инновационном предприятии</w:t>
      </w:r>
      <w:r w:rsidRPr="00D27203">
        <w:t xml:space="preserve">, однако захватывает все низовые уровни управления. Большое значение приобретает стратегическое мышление, ориентация на долгосрочный потенциал успеха </w:t>
      </w:r>
      <w:r w:rsidR="00C6523C">
        <w:t>инновационного предприятия</w:t>
      </w:r>
      <w:r w:rsidRPr="00D27203">
        <w:t xml:space="preserve"> и научная обоснованность принимаемых решений. Научная обоснованность </w:t>
      </w:r>
      <w:proofErr w:type="spellStart"/>
      <w:r w:rsidRPr="00D27203">
        <w:t>продуктово</w:t>
      </w:r>
      <w:proofErr w:type="spellEnd"/>
      <w:r w:rsidRPr="00D27203">
        <w:t>-тематического планирования обеспечивается при соблюдении следующих требований:</w:t>
      </w:r>
    </w:p>
    <w:p w:rsidR="00D27203" w:rsidRPr="00D27203" w:rsidRDefault="00D27203" w:rsidP="00D27203">
      <w:r w:rsidRPr="00D27203">
        <w:t xml:space="preserve">• наличия и успешного функционирования маркетинговой системы в областях стратегического интереса и специализации </w:t>
      </w:r>
      <w:r w:rsidR="00C6523C">
        <w:t>инновационного предприятия</w:t>
      </w:r>
      <w:r w:rsidRPr="00D27203">
        <w:t>;</w:t>
      </w:r>
    </w:p>
    <w:p w:rsidR="00D27203" w:rsidRPr="00D27203" w:rsidRDefault="00D27203" w:rsidP="00D27203">
      <w:r w:rsidRPr="00D27203">
        <w:t xml:space="preserve">• наличия и успешного функционирования системы научно-технического прогнозирования, способствующего раннему распознаванию перспективных направлений развития науки и техники в областях специализации </w:t>
      </w:r>
      <w:r w:rsidR="00C6523C">
        <w:t>инновационного предприятия</w:t>
      </w:r>
      <w:r w:rsidRPr="00D27203">
        <w:t>;</w:t>
      </w:r>
    </w:p>
    <w:p w:rsidR="00D27203" w:rsidRPr="00D27203" w:rsidRDefault="00D27203" w:rsidP="00D27203">
      <w:r w:rsidRPr="00D27203">
        <w:t xml:space="preserve">• использования системы ранжирования и отбора предложений при формировании </w:t>
      </w:r>
      <w:proofErr w:type="spellStart"/>
      <w:r w:rsidRPr="00D27203">
        <w:t>продуктово</w:t>
      </w:r>
      <w:proofErr w:type="spellEnd"/>
      <w:r w:rsidRPr="00D27203">
        <w:t xml:space="preserve">-рыночного портфеля </w:t>
      </w:r>
      <w:r w:rsidR="00C6523C">
        <w:t>инновационного предприятия</w:t>
      </w:r>
      <w:r w:rsidRPr="00D27203">
        <w:t>, основанной на применении объективных множественных критериев;</w:t>
      </w:r>
    </w:p>
    <w:p w:rsidR="00D27203" w:rsidRPr="00D27203" w:rsidRDefault="00D27203" w:rsidP="00D27203">
      <w:r w:rsidRPr="00D27203">
        <w:t xml:space="preserve">• наличия </w:t>
      </w:r>
      <w:proofErr w:type="gramStart"/>
      <w:r w:rsidRPr="00D27203">
        <w:t>на</w:t>
      </w:r>
      <w:proofErr w:type="gramEnd"/>
      <w:r w:rsidRPr="00D27203">
        <w:t xml:space="preserve"> </w:t>
      </w:r>
      <w:proofErr w:type="gramStart"/>
      <w:r w:rsidR="00C6523C">
        <w:t>инновационного</w:t>
      </w:r>
      <w:proofErr w:type="gramEnd"/>
      <w:r w:rsidR="00C6523C">
        <w:t xml:space="preserve"> предприятия</w:t>
      </w:r>
      <w:r w:rsidRPr="00D27203">
        <w:t xml:space="preserve"> эффективной и динамичной информационной системы обеспечения маркетинга научно-технического прогнозирования и Планирования инноваций;</w:t>
      </w:r>
    </w:p>
    <w:p w:rsidR="00D27203" w:rsidRPr="00D27203" w:rsidRDefault="00D27203" w:rsidP="00D27203">
      <w:r w:rsidRPr="00D27203">
        <w:lastRenderedPageBreak/>
        <w:t>• использования научных методов оценки и экономического обоснования инновационных предложений и проектов.</w:t>
      </w:r>
    </w:p>
    <w:p w:rsidR="00D27203" w:rsidRPr="00D27203" w:rsidRDefault="00D27203" w:rsidP="00D27203">
      <w:proofErr w:type="spellStart"/>
      <w:r w:rsidRPr="00D27203">
        <w:t>Продуктово</w:t>
      </w:r>
      <w:proofErr w:type="spellEnd"/>
      <w:r w:rsidRPr="00D27203">
        <w:t xml:space="preserve">-тематическое планирование представляет собой сложный, многоуровневый итерационный процесс, в котором принимают участие менеджеры, плановые службы, аналитические, исследовательские и разрабатывающие подразделения </w:t>
      </w:r>
      <w:r w:rsidR="00C6523C">
        <w:t>инновационного предприятия</w:t>
      </w:r>
      <w:r w:rsidRPr="00D27203">
        <w:t xml:space="preserve">. Он включает в себя информационное обеспечение, аналитические исследования, маркетинговые разработки, экономические обоснования и сметные расчеты, а также оценки собственного потенциала и обоснования управленческих решений. Общий процесс </w:t>
      </w:r>
      <w:proofErr w:type="spellStart"/>
      <w:r w:rsidRPr="00D27203">
        <w:t>продуктово</w:t>
      </w:r>
      <w:proofErr w:type="spellEnd"/>
      <w:r w:rsidRPr="00D27203">
        <w:t xml:space="preserve">-тематического планирования инноваций содержит </w:t>
      </w:r>
      <w:proofErr w:type="gramStart"/>
      <w:r w:rsidRPr="00D27203">
        <w:t>три основные стадии</w:t>
      </w:r>
      <w:proofErr w:type="gramEnd"/>
      <w:r w:rsidRPr="00D27203">
        <w:t xml:space="preserve"> расчетов: формирование </w:t>
      </w:r>
      <w:proofErr w:type="spellStart"/>
      <w:r w:rsidRPr="00D27203">
        <w:t>продуктово</w:t>
      </w:r>
      <w:proofErr w:type="spellEnd"/>
      <w:r w:rsidRPr="00D27203">
        <w:t>-тематических предложений, оценка предложений и отбор тематики, выполнение плана.</w:t>
      </w:r>
    </w:p>
    <w:p w:rsidR="00D27203" w:rsidRPr="00D27203" w:rsidRDefault="00D27203" w:rsidP="00D27203">
      <w:r w:rsidRPr="00D27203">
        <w:t xml:space="preserve">Первая стадия — формирование </w:t>
      </w:r>
      <w:proofErr w:type="spellStart"/>
      <w:r w:rsidRPr="00D27203">
        <w:t>продуктово</w:t>
      </w:r>
      <w:proofErr w:type="spellEnd"/>
      <w:r w:rsidRPr="00D27203">
        <w:t xml:space="preserve">-тематических предложений — имеет своей задачей подготовку возможно большего числа перспективных инновационных идей относительно состава инновационного продукта, изменения структуры рынков или технического развития </w:t>
      </w:r>
      <w:r w:rsidR="00C6523C">
        <w:t>инновационного предприятия</w:t>
      </w:r>
      <w:r w:rsidRPr="00D27203">
        <w:t xml:space="preserve">. Основными источниками инновационных предложений на этой стадии выступают результаты маркетинговых исследований, выполненных научно-технических прогнозов и разработка перспективной продуктовой политики </w:t>
      </w:r>
      <w:r w:rsidR="00C6523C">
        <w:t>инновационного предприятия</w:t>
      </w:r>
      <w:r w:rsidRPr="00D27203">
        <w:t xml:space="preserve">. Маркетинговые исследования в рыночных условиях составляют важнейший источник и необходимое условие научного подхода к </w:t>
      </w:r>
      <w:proofErr w:type="spellStart"/>
      <w:r w:rsidRPr="00D27203">
        <w:t>продуктово</w:t>
      </w:r>
      <w:proofErr w:type="spellEnd"/>
      <w:r w:rsidRPr="00D27203">
        <w:t xml:space="preserve">-тематическому планированию на </w:t>
      </w:r>
      <w:r w:rsidR="00C6523C">
        <w:t>инновационном предприятии</w:t>
      </w:r>
      <w:r w:rsidRPr="00D27203">
        <w:t xml:space="preserve">. Маркетинговые исследования в рамках </w:t>
      </w:r>
      <w:proofErr w:type="spellStart"/>
      <w:r w:rsidRPr="00D27203">
        <w:t>продуктово</w:t>
      </w:r>
      <w:proofErr w:type="spellEnd"/>
      <w:r w:rsidRPr="00D27203">
        <w:t xml:space="preserve">-тематического планирования ориентированы на формирование </w:t>
      </w:r>
      <w:proofErr w:type="spellStart"/>
      <w:r w:rsidRPr="00D27203">
        <w:t>продуктово</w:t>
      </w:r>
      <w:proofErr w:type="spellEnd"/>
      <w:r w:rsidRPr="00D27203">
        <w:t xml:space="preserve">-рыночного портфеля </w:t>
      </w:r>
      <w:r w:rsidR="00C6523C">
        <w:t>инновационного предприятия</w:t>
      </w:r>
      <w:r w:rsidRPr="00D27203">
        <w:t>.</w:t>
      </w:r>
    </w:p>
    <w:p w:rsidR="00D27203" w:rsidRPr="00D27203" w:rsidRDefault="00D27203" w:rsidP="00D27203">
      <w:r w:rsidRPr="00D27203">
        <w:t xml:space="preserve">Использование разнообразных методов и приемов поиска инновационных идей наряду с постоянным анализом портфельных матриц и стратегическим планированием продуктовой политики позволяет </w:t>
      </w:r>
      <w:r w:rsidR="00C6523C">
        <w:lastRenderedPageBreak/>
        <w:t>инновационному предприятию</w:t>
      </w:r>
      <w:r w:rsidRPr="00D27203">
        <w:t xml:space="preserve"> формировать большое число альтернативных инновационных предложений к тематическому плану, конкурирующих между собой по имеющимся ресурсам </w:t>
      </w:r>
      <w:r w:rsidR="00C6523C">
        <w:t>инновационного предприятия</w:t>
      </w:r>
      <w:r w:rsidRPr="00D27203">
        <w:t xml:space="preserve"> и ожидаемым результатам. По данным консалтинговых фирм, для одного успешного инновационного продукта в среднем необходимо 58 разнообразных новых идей. При этом требуется рассмотреть не менее 300 различных вариантов и предложений. Поэтому наиболее ответственной стадией </w:t>
      </w:r>
      <w:proofErr w:type="spellStart"/>
      <w:r w:rsidRPr="00D27203">
        <w:t>продуктово</w:t>
      </w:r>
      <w:proofErr w:type="spellEnd"/>
      <w:r w:rsidRPr="00D27203">
        <w:t>-тематического планирования инноваций является стадия оценки предложений и отбора наиболее актуальной тематики.</w:t>
      </w:r>
    </w:p>
    <w:p w:rsidR="00D27203" w:rsidRPr="00D27203" w:rsidRDefault="00D27203" w:rsidP="00D27203">
      <w:r w:rsidRPr="00D27203">
        <w:t>В отечественной и зарубежной практике для решения этой ответственной задачи используются, как правило, разнообразные методы селекции конкурирующих предложений, основанные на многокритериальной оценке и двухступенчатом отборе перспективной тематики. На первой ступени оценка предложений и грубая селекция их производится по совокупности критериев, отражающих рыночную ситуацию с предлагаемым инновационным продуктом. В качестве критериев на этой ступени отбора могут использоваться следующие параметры рыночной ситуации: динамика спроса на инновационный продукт, ожидаемая доля рынка, оценка рыночного риска, наличие рыночных барьеров, состояние конкуренции, гибкость цен, ожидаемая рентабельность, требуемые инвестиции, обеспеченность ресурсами, ожидаемый объем производства инновационного продукта.</w:t>
      </w:r>
    </w:p>
    <w:p w:rsidR="00D27203" w:rsidRPr="00D27203" w:rsidRDefault="00D27203" w:rsidP="00D27203">
      <w:r w:rsidRPr="00D27203">
        <w:t xml:space="preserve">Отбор предложений на первой ступени селекции производится в соответствии с обобщенным показателем путем ранжирования предложений и нормативного ограничения по минимально допустимому уровню значения обобщенного показателя. Ограничение устанавливается </w:t>
      </w:r>
      <w:r w:rsidR="00C6523C">
        <w:t>инновационным предприятием</w:t>
      </w:r>
      <w:r w:rsidRPr="00D27203">
        <w:t xml:space="preserve"> исходя из располагаемых ресурсов и возможностей развития инновационного потенциала в планируемом периоде. На этой ступени селекции состав предложений, допускаемых к дальнейшему рассмотрению, должен превышать инновационные возможности </w:t>
      </w:r>
      <w:r w:rsidR="00C6523C">
        <w:t xml:space="preserve">инновационного </w:t>
      </w:r>
      <w:r w:rsidR="00C6523C">
        <w:lastRenderedPageBreak/>
        <w:t>предприятия</w:t>
      </w:r>
      <w:r w:rsidRPr="00D27203">
        <w:t>. На второй ступени осуществляется детальная селекция допущенных к разработке предложений по совокупности критериев, характеризующих научно-технический уровень и стратегическую привлекательность предложений.</w:t>
      </w:r>
    </w:p>
    <w:p w:rsidR="00D27203" w:rsidRPr="00D27203" w:rsidRDefault="00D27203" w:rsidP="00D27203">
      <w:r w:rsidRPr="00D27203">
        <w:t xml:space="preserve">В качестве критериев на этой ступени отбора могут использоваться следующие параметры: относительная доля рынка, качество продукта (по международным стандартам), уровень технологии, экономическая эффективность, </w:t>
      </w:r>
      <w:proofErr w:type="spellStart"/>
      <w:r w:rsidRPr="00D27203">
        <w:t>патент</w:t>
      </w:r>
      <w:proofErr w:type="gramStart"/>
      <w:r w:rsidRPr="00D27203">
        <w:t>о</w:t>
      </w:r>
      <w:proofErr w:type="spellEnd"/>
      <w:r w:rsidRPr="00D27203">
        <w:t>-</w:t>
      </w:r>
      <w:proofErr w:type="gramEnd"/>
      <w:r w:rsidRPr="00D27203">
        <w:t xml:space="preserve"> и </w:t>
      </w:r>
      <w:proofErr w:type="spellStart"/>
      <w:r w:rsidRPr="00D27203">
        <w:t>лицензеспособность</w:t>
      </w:r>
      <w:proofErr w:type="spellEnd"/>
      <w:r w:rsidRPr="00D27203">
        <w:t xml:space="preserve">, компетентность руководства, квалификация кадров. Механизм оценки предложений на второй ступени селекции может быть тем же, что и на первой ступени, но с учетом специфической расстановки приоритетов по критериям отбора инновационных предложений. Изложенную схему селекции инновационных предложений следует рассматривать не обособленно, а как часть общей системы формирования </w:t>
      </w:r>
      <w:proofErr w:type="spellStart"/>
      <w:r w:rsidRPr="00D27203">
        <w:t>продуктово</w:t>
      </w:r>
      <w:proofErr w:type="spellEnd"/>
      <w:r w:rsidRPr="00D27203">
        <w:t xml:space="preserve">-тематического портфеля </w:t>
      </w:r>
      <w:r w:rsidR="00C6523C">
        <w:t>инновационного предприятия</w:t>
      </w:r>
      <w:r w:rsidRPr="00D27203">
        <w:t xml:space="preserve">. Только при таком системном рассмотрении она может обеспечить активный поиск плодотворных инновационных идей и объективный отбор перспективных предложений с учетом рыночной ситуации, общих тенденций развития инновационной сферы и реальных возможностей и интересов </w:t>
      </w:r>
      <w:r w:rsidR="00C6523C">
        <w:t>инновационного предприятия</w:t>
      </w:r>
      <w:r w:rsidRPr="00D27203">
        <w:t>.</w:t>
      </w:r>
    </w:p>
    <w:p w:rsidR="00D27203" w:rsidRDefault="00D27203" w:rsidP="00D27203">
      <w:pPr>
        <w:pStyle w:val="a3"/>
        <w:shd w:val="clear" w:color="auto" w:fill="FFFFFF"/>
        <w:spacing w:before="0" w:beforeAutospacing="0" w:after="0" w:afterAutospacing="0"/>
        <w:rPr>
          <w:rFonts w:ascii="Helvetica" w:hAnsi="Helvetica"/>
          <w:i/>
          <w:iCs/>
          <w:color w:val="333333"/>
          <w:sz w:val="21"/>
          <w:szCs w:val="21"/>
        </w:rPr>
      </w:pPr>
      <w:r>
        <w:rPr>
          <w:rFonts w:ascii="Helvetica" w:hAnsi="Helvetica"/>
          <w:i/>
          <w:iCs/>
          <w:color w:val="333333"/>
          <w:sz w:val="21"/>
          <w:szCs w:val="21"/>
        </w:rPr>
        <w:t> </w:t>
      </w:r>
    </w:p>
    <w:p w:rsidR="00B87242" w:rsidRPr="00B87242" w:rsidRDefault="00B87242" w:rsidP="00B87242"/>
    <w:p w:rsidR="00B87242" w:rsidRDefault="00B87242">
      <w:pPr>
        <w:spacing w:after="200" w:line="276" w:lineRule="auto"/>
        <w:ind w:firstLine="0"/>
        <w:jc w:val="left"/>
        <w:rPr>
          <w:rFonts w:eastAsiaTheme="majorEastAsia" w:cstheme="majorBidi"/>
          <w:b/>
          <w:bCs/>
          <w:szCs w:val="28"/>
        </w:rPr>
      </w:pPr>
      <w:r>
        <w:br w:type="page"/>
      </w:r>
    </w:p>
    <w:p w:rsidR="00B87242" w:rsidRDefault="00EA2E1F" w:rsidP="00186EFD">
      <w:pPr>
        <w:pStyle w:val="1"/>
      </w:pPr>
      <w:bookmarkStart w:id="1" w:name="_Toc512240478"/>
      <w:r w:rsidRPr="00B87242">
        <w:lastRenderedPageBreak/>
        <w:t>2. Методы уменьшения риска инновационных проектов</w:t>
      </w:r>
      <w:bookmarkEnd w:id="1"/>
    </w:p>
    <w:p w:rsidR="00BB47C9" w:rsidRPr="00BB47C9" w:rsidRDefault="00BB47C9" w:rsidP="00BB47C9">
      <w:pPr>
        <w:rPr>
          <w:spacing w:val="-4"/>
        </w:rPr>
      </w:pPr>
      <w:r w:rsidRPr="00BB47C9">
        <w:rPr>
          <w:spacing w:val="-4"/>
        </w:rPr>
        <w:t>Инновационное развитие гораздо в большей степени, чем другие направления деятельности, сопряжено с риском. В результате неблагоприятного проявления инновационных рисков, как правило, из 10 инновационных разработок 5 являются убыточными. Из оставшихся 5 разработок только 3 позволят "выйти в ноль". Оставшиеся 2 инновации дают такую прибыль, что она распределяется на все 10 разработок объемом не менее 40%.</w:t>
      </w:r>
    </w:p>
    <w:p w:rsidR="00BB47C9" w:rsidRPr="00BB47C9" w:rsidRDefault="00BB47C9" w:rsidP="00BB47C9">
      <w:r w:rsidRPr="00BB47C9">
        <w:t>Тем не менее, перспективы получения высокой прибыли от внедрения инновационного проекта  нивелируют повышенный риск инновационной деятельности.</w:t>
      </w:r>
    </w:p>
    <w:p w:rsidR="00BB47C9" w:rsidRPr="00BB47C9" w:rsidRDefault="00BB47C9" w:rsidP="00BB47C9">
      <w:r w:rsidRPr="00BB47C9">
        <w:t>Для того чтобы обеспечить управляемость инновационными рисками, необходимо понимать всё разнообразие их видов, которые можно сгруппировать в зависимости от стадии инновационного процесса  (табл. 1).</w:t>
      </w:r>
    </w:p>
    <w:p w:rsidR="00BB47C9" w:rsidRPr="00BB47C9" w:rsidRDefault="00BB47C9" w:rsidP="00BB47C9">
      <w:r w:rsidRPr="00BB47C9">
        <w:t>Таблица 1.</w:t>
      </w:r>
      <w:r>
        <w:t xml:space="preserve"> </w:t>
      </w:r>
      <w:r w:rsidRPr="00BB47C9">
        <w:t>Виды инновационных рисков в зависимости от стадии инновационного процесса</w:t>
      </w:r>
    </w:p>
    <w:tbl>
      <w:tblPr>
        <w:tblStyle w:val="aa"/>
        <w:tblW w:w="5000" w:type="pct"/>
        <w:tblLook w:val="04A0" w:firstRow="1" w:lastRow="0" w:firstColumn="1" w:lastColumn="0" w:noHBand="0" w:noVBand="1"/>
      </w:tblPr>
      <w:tblGrid>
        <w:gridCol w:w="2218"/>
        <w:gridCol w:w="7353"/>
      </w:tblGrid>
      <w:tr w:rsidR="00BB47C9" w:rsidRPr="00BB47C9" w:rsidTr="00BB47C9">
        <w:tc>
          <w:tcPr>
            <w:tcW w:w="0" w:type="auto"/>
            <w:hideMark/>
          </w:tcPr>
          <w:p w:rsidR="00BB47C9" w:rsidRPr="00BB47C9" w:rsidRDefault="00BB47C9" w:rsidP="00BB47C9">
            <w:pPr>
              <w:pStyle w:val="ab"/>
            </w:pPr>
            <w:r w:rsidRPr="00BB47C9">
              <w:t>Стадия</w:t>
            </w:r>
          </w:p>
          <w:p w:rsidR="00BB47C9" w:rsidRPr="00BB47C9" w:rsidRDefault="00BB47C9" w:rsidP="00BB47C9">
            <w:pPr>
              <w:pStyle w:val="ab"/>
            </w:pPr>
            <w:r w:rsidRPr="00BB47C9">
              <w:t>инновационного процесса</w:t>
            </w:r>
          </w:p>
        </w:tc>
        <w:tc>
          <w:tcPr>
            <w:tcW w:w="0" w:type="auto"/>
            <w:hideMark/>
          </w:tcPr>
          <w:p w:rsidR="00BB47C9" w:rsidRPr="00BB47C9" w:rsidRDefault="00BB47C9" w:rsidP="00BB47C9">
            <w:pPr>
              <w:pStyle w:val="ab"/>
            </w:pPr>
            <w:r w:rsidRPr="00BB47C9">
              <w:t>Виды инновационных рисков</w:t>
            </w:r>
          </w:p>
        </w:tc>
      </w:tr>
      <w:tr w:rsidR="00BB47C9" w:rsidRPr="00BB47C9" w:rsidTr="00BB47C9">
        <w:tc>
          <w:tcPr>
            <w:tcW w:w="0" w:type="auto"/>
            <w:hideMark/>
          </w:tcPr>
          <w:p w:rsidR="00BB47C9" w:rsidRPr="00BB47C9" w:rsidRDefault="00BB47C9" w:rsidP="00BB47C9">
            <w:pPr>
              <w:pStyle w:val="ab"/>
            </w:pPr>
            <w:r w:rsidRPr="00BB47C9">
              <w:t>Риск на стадии создания</w:t>
            </w:r>
          </w:p>
        </w:tc>
        <w:tc>
          <w:tcPr>
            <w:tcW w:w="0" w:type="auto"/>
            <w:hideMark/>
          </w:tcPr>
          <w:p w:rsidR="00BB47C9" w:rsidRPr="00BB47C9" w:rsidRDefault="00BB47C9" w:rsidP="00BB47C9">
            <w:pPr>
              <w:pStyle w:val="ab"/>
            </w:pPr>
            <w:proofErr w:type="gramStart"/>
            <w:r w:rsidRPr="00BB47C9">
              <w:t>риск неквалифицированного оформления заявочных материалов на получение охранных документов; риск признания полученного результата не подлежащим правовой охране; риск имитации конкурентами объектов инновационной деятельности; риски, связанные с приобретением имущественных прав на ОИД; риск разглашения секретной информации; риск неисполнения обязательств контрагентами по авторскому договору, договору коммерческой концессии; риск, связанный с ошибками и упущениями оценщиков.</w:t>
            </w:r>
            <w:proofErr w:type="gramEnd"/>
          </w:p>
        </w:tc>
      </w:tr>
      <w:tr w:rsidR="00BB47C9" w:rsidRPr="00BB47C9" w:rsidTr="00BB47C9">
        <w:tc>
          <w:tcPr>
            <w:tcW w:w="0" w:type="auto"/>
            <w:hideMark/>
          </w:tcPr>
          <w:p w:rsidR="00BB47C9" w:rsidRPr="00BB47C9" w:rsidRDefault="00BB47C9" w:rsidP="00BB47C9">
            <w:pPr>
              <w:pStyle w:val="ab"/>
            </w:pPr>
            <w:r w:rsidRPr="00BB47C9">
              <w:t>Риск на стадии освоения</w:t>
            </w:r>
          </w:p>
        </w:tc>
        <w:tc>
          <w:tcPr>
            <w:tcW w:w="0" w:type="auto"/>
            <w:hideMark/>
          </w:tcPr>
          <w:p w:rsidR="00BB47C9" w:rsidRPr="00BB47C9" w:rsidRDefault="00BB47C9" w:rsidP="00BB47C9">
            <w:pPr>
              <w:pStyle w:val="ab"/>
            </w:pPr>
            <w:r w:rsidRPr="00BB47C9">
              <w:t>риск невозможности реализации результата на технологическом уровне; риск морального устаревания объекта инновационной деятельности; риск имитации конкурентами объектов инновационной деятельности; риск, связанный с ошибками и упущениями оценщиков.</w:t>
            </w:r>
          </w:p>
        </w:tc>
      </w:tr>
      <w:tr w:rsidR="00BB47C9" w:rsidRPr="00BB47C9" w:rsidTr="00BB47C9">
        <w:tc>
          <w:tcPr>
            <w:tcW w:w="0" w:type="auto"/>
            <w:hideMark/>
          </w:tcPr>
          <w:p w:rsidR="00BB47C9" w:rsidRPr="00BB47C9" w:rsidRDefault="00BB47C9" w:rsidP="00BB47C9">
            <w:pPr>
              <w:pStyle w:val="ab"/>
            </w:pPr>
            <w:r w:rsidRPr="00BB47C9">
              <w:t>Риск на стадии распространения</w:t>
            </w:r>
          </w:p>
        </w:tc>
        <w:tc>
          <w:tcPr>
            <w:tcW w:w="0" w:type="auto"/>
            <w:hideMark/>
          </w:tcPr>
          <w:p w:rsidR="00BB47C9" w:rsidRPr="00BB47C9" w:rsidRDefault="00BB47C9" w:rsidP="00BB47C9">
            <w:pPr>
              <w:pStyle w:val="ab"/>
            </w:pPr>
            <w:r w:rsidRPr="00BB47C9">
              <w:t>риск  несоответствия документов требованиям патентования; риск наличия аналогов; риск опротестования патентов; риск имитации конкурентами запатентованных объектов; риск, связанный с ошибками и упущениями оценщиков; риск избыточности новых ОИД; риск ценообразования.</w:t>
            </w:r>
          </w:p>
        </w:tc>
      </w:tr>
    </w:tbl>
    <w:p w:rsidR="00BB47C9" w:rsidRPr="00BB47C9" w:rsidRDefault="00BB47C9" w:rsidP="00BB47C9">
      <w:r w:rsidRPr="00BB47C9">
        <w:lastRenderedPageBreak/>
        <w:t>Избежать полностью риска в инновационной деятельности невозможно, поэтому предприятиям необходимо тщательно анализировать инновационные процессы, чтобы не допустить возможных ошибок на стадии отбора проектов.</w:t>
      </w:r>
    </w:p>
    <w:p w:rsidR="00BB47C9" w:rsidRPr="00BB47C9" w:rsidRDefault="00BB47C9" w:rsidP="00BB47C9">
      <w:r w:rsidRPr="00BB47C9">
        <w:t xml:space="preserve">К основным методам снижения уровня инновационного риска в </w:t>
      </w:r>
      <w:proofErr w:type="gramStart"/>
      <w:r w:rsidRPr="00BB47C9">
        <w:t>риск-менеджменте</w:t>
      </w:r>
      <w:proofErr w:type="gramEnd"/>
      <w:r w:rsidRPr="00BB47C9">
        <w:t xml:space="preserve"> в настоящее время относят:</w:t>
      </w:r>
    </w:p>
    <w:p w:rsidR="00BB47C9" w:rsidRPr="00BB47C9" w:rsidRDefault="00BB47C9" w:rsidP="00BB47C9">
      <w:pPr>
        <w:pStyle w:val="ac"/>
        <w:numPr>
          <w:ilvl w:val="0"/>
          <w:numId w:val="1"/>
        </w:numPr>
      </w:pPr>
      <w:r w:rsidRPr="00BB47C9">
        <w:t>метод распределения рисков;</w:t>
      </w:r>
    </w:p>
    <w:p w:rsidR="00BB47C9" w:rsidRPr="00BB47C9" w:rsidRDefault="00BB47C9" w:rsidP="00BB47C9">
      <w:pPr>
        <w:pStyle w:val="ac"/>
        <w:numPr>
          <w:ilvl w:val="0"/>
          <w:numId w:val="1"/>
        </w:numPr>
      </w:pPr>
      <w:r w:rsidRPr="00BB47C9">
        <w:t>метод диверсификации;</w:t>
      </w:r>
    </w:p>
    <w:p w:rsidR="00BB47C9" w:rsidRPr="00BB47C9" w:rsidRDefault="00BB47C9" w:rsidP="00BB47C9">
      <w:pPr>
        <w:pStyle w:val="ac"/>
        <w:numPr>
          <w:ilvl w:val="0"/>
          <w:numId w:val="1"/>
        </w:numPr>
      </w:pPr>
      <w:r w:rsidRPr="00BB47C9">
        <w:t xml:space="preserve">метод </w:t>
      </w:r>
      <w:proofErr w:type="spellStart"/>
      <w:r w:rsidRPr="00BB47C9">
        <w:t>лимитирования</w:t>
      </w:r>
      <w:proofErr w:type="spellEnd"/>
      <w:r w:rsidRPr="00BB47C9">
        <w:t>;</w:t>
      </w:r>
    </w:p>
    <w:p w:rsidR="00BB47C9" w:rsidRPr="00BB47C9" w:rsidRDefault="00BB47C9" w:rsidP="00BB47C9">
      <w:pPr>
        <w:pStyle w:val="ac"/>
        <w:numPr>
          <w:ilvl w:val="0"/>
          <w:numId w:val="1"/>
        </w:numPr>
      </w:pPr>
      <w:r w:rsidRPr="00BB47C9">
        <w:t>метод хеджирования;</w:t>
      </w:r>
    </w:p>
    <w:p w:rsidR="00BB47C9" w:rsidRPr="00BB47C9" w:rsidRDefault="00BB47C9" w:rsidP="00BB47C9">
      <w:pPr>
        <w:pStyle w:val="ac"/>
        <w:numPr>
          <w:ilvl w:val="0"/>
          <w:numId w:val="1"/>
        </w:numPr>
      </w:pPr>
      <w:r w:rsidRPr="00BB47C9">
        <w:t>метод резервирования;</w:t>
      </w:r>
    </w:p>
    <w:p w:rsidR="00BB47C9" w:rsidRPr="00BB47C9" w:rsidRDefault="00BB47C9" w:rsidP="00BB47C9">
      <w:pPr>
        <w:pStyle w:val="ac"/>
        <w:numPr>
          <w:ilvl w:val="0"/>
          <w:numId w:val="1"/>
        </w:numPr>
      </w:pPr>
      <w:r w:rsidRPr="00BB47C9">
        <w:t>метод страхования и самострахования;</w:t>
      </w:r>
    </w:p>
    <w:p w:rsidR="00BB47C9" w:rsidRPr="00BB47C9" w:rsidRDefault="00BB47C9" w:rsidP="00BB47C9">
      <w:pPr>
        <w:pStyle w:val="ac"/>
        <w:numPr>
          <w:ilvl w:val="0"/>
          <w:numId w:val="1"/>
        </w:numPr>
      </w:pPr>
      <w:r w:rsidRPr="00BB47C9">
        <w:t>передачу (трансфер) риска.</w:t>
      </w:r>
    </w:p>
    <w:p w:rsidR="00BB47C9" w:rsidRPr="00BB47C9" w:rsidRDefault="00BB47C9" w:rsidP="00BB47C9">
      <w:r w:rsidRPr="00BB47C9">
        <w:t>Метод распределения рисков</w:t>
      </w:r>
      <w:r>
        <w:t xml:space="preserve"> </w:t>
      </w:r>
      <w:r w:rsidRPr="00BB47C9">
        <w:t>заключается в том, чтобы передать максимальную ответственность за риск тому участнику, который лучше всех может его контролировать.  Распределение риска между участниками инновационной деятельности повышает надежность достижения результатов.</w:t>
      </w:r>
    </w:p>
    <w:p w:rsidR="00BB47C9" w:rsidRPr="00BB47C9" w:rsidRDefault="00BB47C9" w:rsidP="00BB47C9">
      <w:r w:rsidRPr="00BB47C9">
        <w:t>Метод диверсификации</w:t>
      </w:r>
      <w:r>
        <w:t xml:space="preserve"> </w:t>
      </w:r>
      <w:r w:rsidRPr="00BB47C9">
        <w:t>обеспечивает снижение инновационных рисков за счет распределения исследований и капиталовложений по разнонаправленным инновационным проектам, непосредственно не связанным друг с другом. Диверсификация - это рассеивание инновационного риска.</w:t>
      </w:r>
    </w:p>
    <w:p w:rsidR="00BB47C9" w:rsidRPr="00BB47C9" w:rsidRDefault="00BB47C9" w:rsidP="00BB47C9">
      <w:r w:rsidRPr="00BB47C9">
        <w:t xml:space="preserve"> Метод </w:t>
      </w:r>
      <w:proofErr w:type="spellStart"/>
      <w:r w:rsidRPr="00BB47C9">
        <w:t>лимитирования</w:t>
      </w:r>
      <w:proofErr w:type="spellEnd"/>
      <w:r>
        <w:t xml:space="preserve"> </w:t>
      </w:r>
      <w:r w:rsidRPr="00BB47C9">
        <w:t xml:space="preserve">предполагает ограничение предельных сумм расходов, продажи, кредита. Этот метод применяется банками для снижения степени риска при выдаче ссуд </w:t>
      </w:r>
      <w:proofErr w:type="spellStart"/>
      <w:r w:rsidRPr="00BB47C9">
        <w:t>инноваторам</w:t>
      </w:r>
      <w:proofErr w:type="spellEnd"/>
      <w:r w:rsidRPr="00BB47C9">
        <w:t xml:space="preserve">, а предприятиями - при продаже товаров в кредит и определении сумм вложений капиталов в различные инновационные проекты. На предприятии </w:t>
      </w:r>
      <w:proofErr w:type="spellStart"/>
      <w:r w:rsidRPr="00BB47C9">
        <w:t>лимитирование</w:t>
      </w:r>
      <w:proofErr w:type="spellEnd"/>
      <w:r w:rsidRPr="00BB47C9">
        <w:t xml:space="preserve"> реализуется путем установления соответствующих внутренних финансовых нормативов в </w:t>
      </w:r>
      <w:r w:rsidRPr="00BB47C9">
        <w:lastRenderedPageBreak/>
        <w:t>процессе разработки политики осуществления различных аспектов финансовой деятельности и не требует высоких финансовых затрат.</w:t>
      </w:r>
    </w:p>
    <w:p w:rsidR="00BB47C9" w:rsidRPr="00BB47C9" w:rsidRDefault="00BB47C9" w:rsidP="00BB47C9">
      <w:r w:rsidRPr="00BB47C9">
        <w:t xml:space="preserve">Метод хеджирования </w:t>
      </w:r>
      <w:r>
        <w:t xml:space="preserve">– </w:t>
      </w:r>
      <w:r w:rsidRPr="00BB47C9">
        <w:t>эффективный способ снижения риска неблагоприятного изменения ценовой конъюнктуры с помощью заключения срочных контрактов (фьючерсов и опционов). Этот метод обязателен для продавца и необязателен для покупателя.</w:t>
      </w:r>
    </w:p>
    <w:p w:rsidR="00BB47C9" w:rsidRPr="00BB47C9" w:rsidRDefault="00BB47C9" w:rsidP="00BB47C9">
      <w:r w:rsidRPr="00BB47C9">
        <w:t>Метод резервирования</w:t>
      </w:r>
      <w:r>
        <w:t xml:space="preserve"> –</w:t>
      </w:r>
      <w:r w:rsidRPr="00BB47C9">
        <w:t xml:space="preserve"> метод, который обеспечивает надежность функционирования системы за счет формирования резерва, из которого возмещается ущерб из-за отказа одного из элементов системы. Величина резерва должна быть равна или превышать величину возможных потерь, однако затраты на содержание резервов не должны превышать издержки, связанные с восстановлением отказа системы. Резервирование средств целесообразно в случае возникновения ущерба, являющегося следствием:</w:t>
      </w:r>
    </w:p>
    <w:p w:rsidR="00BB47C9" w:rsidRPr="00BB47C9" w:rsidRDefault="00BB47C9" w:rsidP="00BB47C9">
      <w:r w:rsidRPr="00BB47C9">
        <w:t>• возможного отказа от дальнейшего освоения продукции и прекращения проекта по причине реализации пессимистического сценария развития проекта;</w:t>
      </w:r>
    </w:p>
    <w:p w:rsidR="00BB47C9" w:rsidRPr="00BB47C9" w:rsidRDefault="00BB47C9" w:rsidP="00BB47C9">
      <w:r w:rsidRPr="00BB47C9">
        <w:t>• превышения совокупных затрат выделенных согласно бюджету проекта средств;</w:t>
      </w:r>
    </w:p>
    <w:p w:rsidR="00BB47C9" w:rsidRPr="00BB47C9" w:rsidRDefault="00BB47C9" w:rsidP="00BB47C9">
      <w:r w:rsidRPr="00BB47C9">
        <w:t>• превышения срока завершения проекта директивной величины. Такие директивные сроки освоения продукции могут определяться договорами, приказами и прочими документами. Например, директивный срок освоения самолетов малой авиации России определяется тремя годами.</w:t>
      </w:r>
    </w:p>
    <w:p w:rsidR="00BB47C9" w:rsidRPr="00BB47C9" w:rsidRDefault="00BB47C9" w:rsidP="00BB47C9">
      <w:r w:rsidRPr="00BB47C9">
        <w:t xml:space="preserve">Страхование как метод снижения риска предполагает создание специального фонда средств и его использование для преодоления путем выплаты страхового возмещения разного рода потерь, ущерба, вызванного неблагоприятными событиями (страховыми случаями). Для страхования обязательно наличие двух сторон: специальной организации (страховщика), аккумулирующей соответствующие средства, и юридических и физических лиц (страхователей), вносящих в фонд установленные платежи. Их взаимные обязательства регламентируются договором. Из всех форм управления </w:t>
      </w:r>
      <w:r w:rsidRPr="00BB47C9">
        <w:lastRenderedPageBreak/>
        <w:t>рисками страхование наиболее полно отвечает идеальным условиям, так как ресурсы для покрытия потерь инновационной фирмы получаются от страховых организаций быстрее, чем из любого другого источника.</w:t>
      </w:r>
    </w:p>
    <w:p w:rsidR="00BB47C9" w:rsidRPr="00BB47C9" w:rsidRDefault="00BB47C9" w:rsidP="00BB47C9">
      <w:r w:rsidRPr="00BB47C9">
        <w:t>Страхование является наиболее важным и самым распространенным приемом снижения степени инновационного риска. С его помощью  инновационное предприятие может минимизировать практически все имущественные, а также многие политические, кредитные, коммерческие и производственные риски. Определяя стратегии отношений со страховыми компаниями, инновационное предприятие должно хорошо ориентироваться на страховом рынке, выбирая наиболее подходящие для конкретной сделки условия страхования, которые оговариваются в договоре, надежные страховые организации.</w:t>
      </w:r>
    </w:p>
    <w:p w:rsidR="00BB47C9" w:rsidRPr="00BB47C9" w:rsidRDefault="00BB47C9" w:rsidP="00BB47C9">
      <w:r w:rsidRPr="00BB47C9">
        <w:t>В теории управления рисками и собственно страховой науке в настоящее время разработаны лишь принципиальные подходы к организации страховой защиты предприятий от инновационных рисков. В условиях слабой коммерческой привлекательности страхования предпринимательских рисков в инновационной деятельности для российских страховщиков следует предпринять в рамках государства ряд мер налогового и иного характера, стимулирующих как страховщиков, так и страхователей к заключению таких договоров страхования.</w:t>
      </w:r>
    </w:p>
    <w:p w:rsidR="00BB47C9" w:rsidRPr="00BB47C9" w:rsidRDefault="00BB47C9" w:rsidP="00BB47C9">
      <w:r w:rsidRPr="00BB47C9">
        <w:t>Необходимо отметить, что опыт деятельности международных рынков страхования и последние годы развития страхования в России наглядно демонстрируют неизбежный ро</w:t>
      </w:r>
      <w:proofErr w:type="gramStart"/>
      <w:r w:rsidRPr="00BB47C9">
        <w:t>ст спр</w:t>
      </w:r>
      <w:proofErr w:type="gramEnd"/>
      <w:r w:rsidRPr="00BB47C9">
        <w:t>оса на страхование от инновационных рисков.</w:t>
      </w:r>
    </w:p>
    <w:p w:rsidR="00BB47C9" w:rsidRPr="00BB47C9" w:rsidRDefault="00BB47C9" w:rsidP="00BB47C9">
      <w:r w:rsidRPr="00BB47C9">
        <w:t xml:space="preserve">Анализируя потенциал нового страхового рынка, можно предположить, что необходимость в страховании должны испытывать в первую очередь небольшие или среднего размера предприниматели, активно участвующие в инновационном процессе. Как показывает реальная практика российской экономики и мировой опыт организации и стимулирования малого предпринимательства, данные компании не рассчитывают на всестороннюю </w:t>
      </w:r>
      <w:r w:rsidRPr="00BB47C9">
        <w:lastRenderedPageBreak/>
        <w:t>поддержку государства, в основном полагаются на собственные силы, и, следовательно, чаще прибегают к помощи страхователей.</w:t>
      </w:r>
    </w:p>
    <w:p w:rsidR="00BB47C9" w:rsidRPr="00BB47C9" w:rsidRDefault="00BB47C9" w:rsidP="00BB47C9">
      <w:r w:rsidRPr="00BB47C9">
        <w:t>Однако на сегодняшний день страхование рисков инновационной деятельности по-прежнему носит характер случайности. Для того чтобы предприятия чаще прибегали к страховой защите, необходимы не только более активные действия со стороны страховых организаций, но также и содействие со стороны органов государственной власти и управления России. Это предполагает наличие действенного государственного страхового надзора за деятельностью страховщиков, а также оказание им с учетом приоритетности для России инновационной деятельности всесторонней государственной поддержки, стимулирующей к проведению страхового процесса в этой области.  </w:t>
      </w:r>
    </w:p>
    <w:p w:rsidR="00BB47C9" w:rsidRPr="00BB47C9" w:rsidRDefault="00BB47C9" w:rsidP="00BB47C9">
      <w:r w:rsidRPr="00BB47C9">
        <w:t xml:space="preserve">Передача (трансфер) риска </w:t>
      </w:r>
      <w:proofErr w:type="gramStart"/>
      <w:r w:rsidRPr="00BB47C9">
        <w:t>-м</w:t>
      </w:r>
      <w:proofErr w:type="gramEnd"/>
      <w:r w:rsidRPr="00BB47C9">
        <w:t>етод снижения инновационного риска путем заключения соответствующих контрактов, которые предполагают передачу ответственности за риск кому-то другому.  Этот метод используется в тех случаях, когда величина возможного риска неприемлема для инновационного предприятия.</w:t>
      </w:r>
    </w:p>
    <w:p w:rsidR="00BB47C9" w:rsidRPr="00BB47C9" w:rsidRDefault="00BB47C9" w:rsidP="00BB47C9">
      <w:r w:rsidRPr="00BB47C9">
        <w:t> </w:t>
      </w:r>
      <w:proofErr w:type="gramStart"/>
      <w:r w:rsidRPr="00BB47C9">
        <w:t>Наряду с перечисленными методами управления рисками для уменьшения негативных последствий или снижения уровня риска инновационной деятельности используется прямое воздействие на управляемые факторы риска, включающее анализ и оценку инновационного проекта; проверку предполагаемых партнеров по инновационному проекту; планирование и прогнозирование инновационной деятельности; создание инновационного настроя менеджмента на всех уровнях управления, нейтрализацию сопротивления изменениям, стимулирование различных инициатив.</w:t>
      </w:r>
      <w:proofErr w:type="gramEnd"/>
    </w:p>
    <w:p w:rsidR="00BB47C9" w:rsidRPr="00BB47C9" w:rsidRDefault="00BB47C9" w:rsidP="00BB47C9">
      <w:r w:rsidRPr="00BB47C9">
        <w:t>Представляется, что для достижения более эффективных результатов, как правило, используется не один, а целая совокупность методов минимизации рисков на всех стадиях осуществления инновационного проекта.</w:t>
      </w:r>
    </w:p>
    <w:p w:rsidR="00BB47C9" w:rsidRPr="00BB47C9" w:rsidRDefault="00BB47C9" w:rsidP="00BB47C9">
      <w:r w:rsidRPr="00BB47C9">
        <w:lastRenderedPageBreak/>
        <w:t xml:space="preserve">При формировании системы управления инновационными рисками необходимо учитывать, что различные инновационные проекты и различные их стадии имеют свои риски и потенциальную доходность. Поэтому, одна из основных задач инновационного процесса - взаимное увязывание интересов инвесторов и других субъектов инновационного процесса. Для этих целей существует специальная доля рыночных игроков — компании, помогающие исследователям и изобретателям </w:t>
      </w:r>
      <w:proofErr w:type="spellStart"/>
      <w:r w:rsidRPr="00BB47C9">
        <w:t>коммерциализировать</w:t>
      </w:r>
      <w:proofErr w:type="spellEnd"/>
      <w:r w:rsidRPr="00BB47C9">
        <w:t xml:space="preserve"> их работы.</w:t>
      </w:r>
    </w:p>
    <w:p w:rsidR="00BB47C9" w:rsidRPr="00BB47C9" w:rsidRDefault="00BB47C9" w:rsidP="00BB47C9">
      <w:r w:rsidRPr="00BB47C9">
        <w:t>При анализе сложившегося инновационного рынка в России выявлено почти полное их отсутствие. И, как следствие, никакого надлежащего применения для изобретений и технологий. В российской действительности сложилась такая ситуация, когда часть людей изобретает только для удовольствия, не ожидая того, что это приведёт к результату в будущем, а часть – проводит исследования с целью коммерциализации, но не доводит инновационный процесс до конца. Основной причиной этого выступает неверный выбор источника инвестирования инновационных проектов и отсутствие маркетинговой составляющей в существующих технологиях коммерциализации.</w:t>
      </w:r>
    </w:p>
    <w:p w:rsidR="00BB47C9" w:rsidRDefault="00BB47C9" w:rsidP="00BB47C9">
      <w:r w:rsidRPr="00BB47C9">
        <w:t>Поэтому различные инновационные проекты должны иметь соответствующие инвестиционные ресурсы в зависимости  основные характеристик инноваций (табл.2).</w:t>
      </w:r>
    </w:p>
    <w:p w:rsidR="00BB47C9" w:rsidRPr="00BB47C9" w:rsidRDefault="00BB47C9" w:rsidP="00BB47C9">
      <w:r w:rsidRPr="00BB47C9">
        <w:t>Присутствие всех типов инновационных инвестиций в экономике в комплексе является главным фактором развития национальной инновационной способности, а именно возможности и готовности разрабатывать и внедрять новшества.</w:t>
      </w:r>
    </w:p>
    <w:p w:rsidR="00BB47C9" w:rsidRDefault="00BB47C9" w:rsidP="00BB47C9"/>
    <w:p w:rsidR="00BB47C9" w:rsidRDefault="00BB47C9" w:rsidP="00BB47C9"/>
    <w:p w:rsidR="00BB47C9" w:rsidRDefault="00BB47C9" w:rsidP="00BB47C9"/>
    <w:p w:rsidR="00BB47C9" w:rsidRDefault="00BB47C9" w:rsidP="00BB47C9"/>
    <w:p w:rsidR="00BB47C9" w:rsidRPr="00BB47C9" w:rsidRDefault="00BB47C9" w:rsidP="00BB47C9"/>
    <w:p w:rsidR="00BB47C9" w:rsidRPr="00BB47C9" w:rsidRDefault="00BB47C9" w:rsidP="00BB47C9">
      <w:r w:rsidRPr="00BB47C9">
        <w:lastRenderedPageBreak/>
        <w:t>Таблица 2.</w:t>
      </w:r>
      <w:r>
        <w:t xml:space="preserve"> </w:t>
      </w:r>
      <w:r w:rsidRPr="00BB47C9">
        <w:t>Влияние характера инновации</w:t>
      </w:r>
      <w:r>
        <w:t xml:space="preserve"> </w:t>
      </w:r>
      <w:r w:rsidRPr="00BB47C9">
        <w:t>на выбор источника инвестиционного ресурса</w:t>
      </w:r>
    </w:p>
    <w:tbl>
      <w:tblPr>
        <w:tblStyle w:val="aa"/>
        <w:tblW w:w="5000" w:type="pct"/>
        <w:tblLook w:val="04A0" w:firstRow="1" w:lastRow="0" w:firstColumn="1" w:lastColumn="0" w:noHBand="0" w:noVBand="1"/>
      </w:tblPr>
      <w:tblGrid>
        <w:gridCol w:w="1746"/>
        <w:gridCol w:w="2342"/>
        <w:gridCol w:w="1793"/>
        <w:gridCol w:w="1836"/>
        <w:gridCol w:w="1854"/>
      </w:tblGrid>
      <w:tr w:rsidR="00BB47C9" w:rsidRPr="00BB47C9" w:rsidTr="00BB47C9">
        <w:tc>
          <w:tcPr>
            <w:tcW w:w="0" w:type="auto"/>
            <w:vMerge w:val="restart"/>
            <w:hideMark/>
          </w:tcPr>
          <w:p w:rsidR="00BB47C9" w:rsidRPr="00BB47C9" w:rsidRDefault="00BB47C9" w:rsidP="00BB47C9">
            <w:pPr>
              <w:pStyle w:val="ab"/>
            </w:pPr>
            <w:r w:rsidRPr="00BB47C9">
              <w:t>Источник инвестиций</w:t>
            </w:r>
          </w:p>
        </w:tc>
        <w:tc>
          <w:tcPr>
            <w:tcW w:w="0" w:type="auto"/>
            <w:gridSpan w:val="4"/>
            <w:hideMark/>
          </w:tcPr>
          <w:p w:rsidR="00BB47C9" w:rsidRPr="00BB47C9" w:rsidRDefault="00BB47C9" w:rsidP="00BB47C9">
            <w:pPr>
              <w:pStyle w:val="ab"/>
            </w:pPr>
            <w:r w:rsidRPr="00BB47C9">
              <w:t>Характер инновации – объекта инвестирования</w:t>
            </w:r>
          </w:p>
        </w:tc>
      </w:tr>
      <w:tr w:rsidR="00BB47C9" w:rsidRPr="00BB47C9" w:rsidTr="00BB47C9">
        <w:tc>
          <w:tcPr>
            <w:tcW w:w="0" w:type="auto"/>
            <w:vMerge/>
            <w:hideMark/>
          </w:tcPr>
          <w:p w:rsidR="00BB47C9" w:rsidRPr="00BB47C9" w:rsidRDefault="00BB47C9" w:rsidP="00BB47C9">
            <w:pPr>
              <w:pStyle w:val="ab"/>
            </w:pPr>
          </w:p>
        </w:tc>
        <w:tc>
          <w:tcPr>
            <w:tcW w:w="0" w:type="auto"/>
            <w:hideMark/>
          </w:tcPr>
          <w:p w:rsidR="00BB47C9" w:rsidRPr="00BB47C9" w:rsidRDefault="00BB47C9" w:rsidP="00BB47C9">
            <w:pPr>
              <w:pStyle w:val="ab"/>
            </w:pPr>
            <w:proofErr w:type="gramStart"/>
            <w:r w:rsidRPr="00BB47C9">
              <w:t>принимаемый</w:t>
            </w:r>
            <w:proofErr w:type="gramEnd"/>
            <w:r w:rsidRPr="00BB47C9">
              <w:t xml:space="preserve"> инвестором </w:t>
            </w:r>
            <w:proofErr w:type="spellStart"/>
            <w:r w:rsidRPr="00BB47C9">
              <w:t>уровеньинновационного</w:t>
            </w:r>
            <w:proofErr w:type="spellEnd"/>
            <w:r w:rsidRPr="00BB47C9">
              <w:t xml:space="preserve"> риска</w:t>
            </w:r>
          </w:p>
        </w:tc>
        <w:tc>
          <w:tcPr>
            <w:tcW w:w="0" w:type="auto"/>
            <w:hideMark/>
          </w:tcPr>
          <w:p w:rsidR="00BB47C9" w:rsidRPr="00BB47C9" w:rsidRDefault="00BB47C9" w:rsidP="00BB47C9">
            <w:pPr>
              <w:pStyle w:val="ab"/>
            </w:pPr>
            <w:r w:rsidRPr="00BB47C9">
              <w:t>предпочтительная длительность инновационного цикла</w:t>
            </w:r>
          </w:p>
        </w:tc>
        <w:tc>
          <w:tcPr>
            <w:tcW w:w="0" w:type="auto"/>
            <w:hideMark/>
          </w:tcPr>
          <w:p w:rsidR="00BB47C9" w:rsidRPr="00BB47C9" w:rsidRDefault="00BB47C9" w:rsidP="00BB47C9">
            <w:pPr>
              <w:pStyle w:val="ab"/>
            </w:pPr>
            <w:r w:rsidRPr="00BB47C9">
              <w:t>предпочтительные размеры инвестиционных вложений</w:t>
            </w:r>
          </w:p>
        </w:tc>
        <w:tc>
          <w:tcPr>
            <w:tcW w:w="0" w:type="auto"/>
            <w:hideMark/>
          </w:tcPr>
          <w:p w:rsidR="00BB47C9" w:rsidRPr="00BB47C9" w:rsidRDefault="00BB47C9" w:rsidP="00BB47C9">
            <w:pPr>
              <w:pStyle w:val="ab"/>
            </w:pPr>
            <w:r w:rsidRPr="00BB47C9">
              <w:t>предпочтительный эффект от инвестиций</w:t>
            </w:r>
          </w:p>
        </w:tc>
      </w:tr>
      <w:tr w:rsidR="00BB47C9" w:rsidRPr="00BB47C9" w:rsidTr="00BB47C9">
        <w:tc>
          <w:tcPr>
            <w:tcW w:w="0" w:type="auto"/>
            <w:hideMark/>
          </w:tcPr>
          <w:p w:rsidR="00BB47C9" w:rsidRPr="00BB47C9" w:rsidRDefault="00BB47C9" w:rsidP="00BB47C9">
            <w:pPr>
              <w:pStyle w:val="ab"/>
            </w:pPr>
            <w:r w:rsidRPr="00BB47C9">
              <w:t>Государственный бюджет</w:t>
            </w:r>
          </w:p>
        </w:tc>
        <w:tc>
          <w:tcPr>
            <w:tcW w:w="0" w:type="auto"/>
            <w:hideMark/>
          </w:tcPr>
          <w:p w:rsidR="00BB47C9" w:rsidRPr="00BB47C9" w:rsidRDefault="00BB47C9" w:rsidP="00BB47C9">
            <w:pPr>
              <w:pStyle w:val="ab"/>
            </w:pPr>
            <w:r w:rsidRPr="00BB47C9">
              <w:t>Высокий</w:t>
            </w:r>
          </w:p>
        </w:tc>
        <w:tc>
          <w:tcPr>
            <w:tcW w:w="0" w:type="auto"/>
            <w:hideMark/>
          </w:tcPr>
          <w:p w:rsidR="00BB47C9" w:rsidRPr="00BB47C9" w:rsidRDefault="00BB47C9" w:rsidP="00BB47C9">
            <w:pPr>
              <w:pStyle w:val="ab"/>
            </w:pPr>
            <w:r w:rsidRPr="00BB47C9">
              <w:t>Долгосрочная</w:t>
            </w:r>
          </w:p>
        </w:tc>
        <w:tc>
          <w:tcPr>
            <w:tcW w:w="0" w:type="auto"/>
            <w:hideMark/>
          </w:tcPr>
          <w:p w:rsidR="00BB47C9" w:rsidRPr="00BB47C9" w:rsidRDefault="00BB47C9" w:rsidP="00BB47C9">
            <w:pPr>
              <w:pStyle w:val="ab"/>
            </w:pPr>
            <w:r w:rsidRPr="00BB47C9">
              <w:t>Крупные, стратегические</w:t>
            </w:r>
          </w:p>
        </w:tc>
        <w:tc>
          <w:tcPr>
            <w:tcW w:w="0" w:type="auto"/>
            <w:hideMark/>
          </w:tcPr>
          <w:p w:rsidR="00BB47C9" w:rsidRPr="00BB47C9" w:rsidRDefault="00BB47C9" w:rsidP="00BB47C9">
            <w:pPr>
              <w:pStyle w:val="ab"/>
            </w:pPr>
            <w:r w:rsidRPr="00BB47C9">
              <w:t>Общественный и экономический</w:t>
            </w:r>
          </w:p>
        </w:tc>
      </w:tr>
      <w:tr w:rsidR="00BB47C9" w:rsidRPr="00BB47C9" w:rsidTr="00BB47C9">
        <w:tc>
          <w:tcPr>
            <w:tcW w:w="0" w:type="auto"/>
            <w:hideMark/>
          </w:tcPr>
          <w:p w:rsidR="00BB47C9" w:rsidRPr="00BB47C9" w:rsidRDefault="00BB47C9" w:rsidP="00BB47C9">
            <w:pPr>
              <w:pStyle w:val="ab"/>
            </w:pPr>
            <w:r w:rsidRPr="00BB47C9">
              <w:t>Корпорации</w:t>
            </w:r>
          </w:p>
        </w:tc>
        <w:tc>
          <w:tcPr>
            <w:tcW w:w="0" w:type="auto"/>
            <w:hideMark/>
          </w:tcPr>
          <w:p w:rsidR="00BB47C9" w:rsidRPr="00BB47C9" w:rsidRDefault="00BB47C9" w:rsidP="00BB47C9">
            <w:pPr>
              <w:pStyle w:val="ab"/>
            </w:pPr>
            <w:r w:rsidRPr="00BB47C9">
              <w:t>Низкий или средний</w:t>
            </w:r>
          </w:p>
        </w:tc>
        <w:tc>
          <w:tcPr>
            <w:tcW w:w="0" w:type="auto"/>
            <w:hideMark/>
          </w:tcPr>
          <w:p w:rsidR="00BB47C9" w:rsidRPr="00BB47C9" w:rsidRDefault="00BB47C9" w:rsidP="00BB47C9">
            <w:pPr>
              <w:pStyle w:val="ab"/>
            </w:pPr>
            <w:r w:rsidRPr="00BB47C9">
              <w:t>Средне- и краткосрочная</w:t>
            </w:r>
          </w:p>
        </w:tc>
        <w:tc>
          <w:tcPr>
            <w:tcW w:w="0" w:type="auto"/>
            <w:hideMark/>
          </w:tcPr>
          <w:p w:rsidR="00BB47C9" w:rsidRPr="00BB47C9" w:rsidRDefault="00BB47C9" w:rsidP="00BB47C9">
            <w:pPr>
              <w:pStyle w:val="ab"/>
            </w:pPr>
            <w:r w:rsidRPr="00BB47C9">
              <w:t>Крупные и средние</w:t>
            </w:r>
          </w:p>
        </w:tc>
        <w:tc>
          <w:tcPr>
            <w:tcW w:w="0" w:type="auto"/>
            <w:hideMark/>
          </w:tcPr>
          <w:p w:rsidR="00BB47C9" w:rsidRPr="00BB47C9" w:rsidRDefault="00BB47C9" w:rsidP="00BB47C9">
            <w:pPr>
              <w:pStyle w:val="ab"/>
            </w:pPr>
            <w:r w:rsidRPr="00BB47C9">
              <w:t>Экономический</w:t>
            </w:r>
          </w:p>
        </w:tc>
      </w:tr>
      <w:tr w:rsidR="00BB47C9" w:rsidRPr="00BB47C9" w:rsidTr="00BB47C9">
        <w:tc>
          <w:tcPr>
            <w:tcW w:w="0" w:type="auto"/>
            <w:hideMark/>
          </w:tcPr>
          <w:p w:rsidR="00BB47C9" w:rsidRPr="00BB47C9" w:rsidRDefault="00BB47C9" w:rsidP="00BB47C9">
            <w:pPr>
              <w:pStyle w:val="ab"/>
            </w:pPr>
            <w:r w:rsidRPr="00BB47C9">
              <w:t>Малые предприятия</w:t>
            </w:r>
          </w:p>
        </w:tc>
        <w:tc>
          <w:tcPr>
            <w:tcW w:w="0" w:type="auto"/>
            <w:hideMark/>
          </w:tcPr>
          <w:p w:rsidR="00BB47C9" w:rsidRPr="00BB47C9" w:rsidRDefault="00BB47C9" w:rsidP="00BB47C9">
            <w:pPr>
              <w:pStyle w:val="ab"/>
            </w:pPr>
            <w:r w:rsidRPr="00BB47C9">
              <w:t>Высокий или средний</w:t>
            </w:r>
          </w:p>
        </w:tc>
        <w:tc>
          <w:tcPr>
            <w:tcW w:w="0" w:type="auto"/>
            <w:hideMark/>
          </w:tcPr>
          <w:p w:rsidR="00BB47C9" w:rsidRPr="00BB47C9" w:rsidRDefault="00BB47C9" w:rsidP="00BB47C9">
            <w:pPr>
              <w:pStyle w:val="ab"/>
            </w:pPr>
            <w:r w:rsidRPr="00BB47C9">
              <w:t>Средне- и краткосрочная</w:t>
            </w:r>
          </w:p>
        </w:tc>
        <w:tc>
          <w:tcPr>
            <w:tcW w:w="0" w:type="auto"/>
            <w:hideMark/>
          </w:tcPr>
          <w:p w:rsidR="00BB47C9" w:rsidRPr="00BB47C9" w:rsidRDefault="00BB47C9" w:rsidP="00BB47C9">
            <w:pPr>
              <w:pStyle w:val="ab"/>
            </w:pPr>
            <w:r w:rsidRPr="00BB47C9">
              <w:t>Средние и небольшие</w:t>
            </w:r>
          </w:p>
        </w:tc>
        <w:tc>
          <w:tcPr>
            <w:tcW w:w="0" w:type="auto"/>
            <w:hideMark/>
          </w:tcPr>
          <w:p w:rsidR="00BB47C9" w:rsidRPr="00BB47C9" w:rsidRDefault="00BB47C9" w:rsidP="00BB47C9">
            <w:pPr>
              <w:pStyle w:val="ab"/>
            </w:pPr>
            <w:r w:rsidRPr="00BB47C9">
              <w:t>Экономический</w:t>
            </w:r>
          </w:p>
        </w:tc>
      </w:tr>
      <w:tr w:rsidR="00BB47C9" w:rsidRPr="00BB47C9" w:rsidTr="00BB47C9">
        <w:tc>
          <w:tcPr>
            <w:tcW w:w="0" w:type="auto"/>
            <w:hideMark/>
          </w:tcPr>
          <w:p w:rsidR="00BB47C9" w:rsidRPr="00BB47C9" w:rsidRDefault="00BB47C9" w:rsidP="00BB47C9">
            <w:pPr>
              <w:pStyle w:val="ab"/>
            </w:pPr>
            <w:r w:rsidRPr="00BB47C9">
              <w:t>Банки</w:t>
            </w:r>
          </w:p>
        </w:tc>
        <w:tc>
          <w:tcPr>
            <w:tcW w:w="0" w:type="auto"/>
            <w:hideMark/>
          </w:tcPr>
          <w:p w:rsidR="00BB47C9" w:rsidRPr="00BB47C9" w:rsidRDefault="00BB47C9" w:rsidP="00BB47C9">
            <w:pPr>
              <w:pStyle w:val="ab"/>
            </w:pPr>
            <w:r w:rsidRPr="00BB47C9">
              <w:t>низкий</w:t>
            </w:r>
          </w:p>
        </w:tc>
        <w:tc>
          <w:tcPr>
            <w:tcW w:w="0" w:type="auto"/>
            <w:hideMark/>
          </w:tcPr>
          <w:p w:rsidR="00BB47C9" w:rsidRPr="00BB47C9" w:rsidRDefault="00BB47C9" w:rsidP="00BB47C9">
            <w:pPr>
              <w:pStyle w:val="ab"/>
            </w:pPr>
            <w:r w:rsidRPr="00BB47C9">
              <w:t>Средне- и краткосрочная</w:t>
            </w:r>
          </w:p>
        </w:tc>
        <w:tc>
          <w:tcPr>
            <w:tcW w:w="0" w:type="auto"/>
            <w:hideMark/>
          </w:tcPr>
          <w:p w:rsidR="00BB47C9" w:rsidRPr="00BB47C9" w:rsidRDefault="00BB47C9" w:rsidP="00BB47C9">
            <w:pPr>
              <w:pStyle w:val="ab"/>
            </w:pPr>
            <w:r w:rsidRPr="00BB47C9">
              <w:t>Средние и небольшие</w:t>
            </w:r>
          </w:p>
        </w:tc>
        <w:tc>
          <w:tcPr>
            <w:tcW w:w="0" w:type="auto"/>
            <w:hideMark/>
          </w:tcPr>
          <w:p w:rsidR="00BB47C9" w:rsidRPr="00BB47C9" w:rsidRDefault="00BB47C9" w:rsidP="00BB47C9">
            <w:pPr>
              <w:pStyle w:val="ab"/>
            </w:pPr>
            <w:r w:rsidRPr="00BB47C9">
              <w:t>Экономический</w:t>
            </w:r>
          </w:p>
        </w:tc>
      </w:tr>
      <w:tr w:rsidR="00BB47C9" w:rsidRPr="00BB47C9" w:rsidTr="00BB47C9">
        <w:tc>
          <w:tcPr>
            <w:tcW w:w="0" w:type="auto"/>
            <w:hideMark/>
          </w:tcPr>
          <w:p w:rsidR="00BB47C9" w:rsidRPr="00BB47C9" w:rsidRDefault="00BB47C9" w:rsidP="00BB47C9">
            <w:pPr>
              <w:pStyle w:val="ab"/>
            </w:pPr>
            <w:r w:rsidRPr="00BB47C9">
              <w:t>Венчурные фонды</w:t>
            </w:r>
          </w:p>
        </w:tc>
        <w:tc>
          <w:tcPr>
            <w:tcW w:w="0" w:type="auto"/>
            <w:hideMark/>
          </w:tcPr>
          <w:p w:rsidR="00BB47C9" w:rsidRPr="00BB47C9" w:rsidRDefault="00BB47C9" w:rsidP="00BB47C9">
            <w:pPr>
              <w:pStyle w:val="ab"/>
            </w:pPr>
            <w:r w:rsidRPr="00BB47C9">
              <w:t>высокий</w:t>
            </w:r>
          </w:p>
        </w:tc>
        <w:tc>
          <w:tcPr>
            <w:tcW w:w="0" w:type="auto"/>
            <w:hideMark/>
          </w:tcPr>
          <w:p w:rsidR="00BB47C9" w:rsidRPr="00BB47C9" w:rsidRDefault="00BB47C9" w:rsidP="00BB47C9">
            <w:pPr>
              <w:pStyle w:val="ab"/>
            </w:pPr>
            <w:r w:rsidRPr="00BB47C9">
              <w:t>Долго- и  среднесрочная</w:t>
            </w:r>
          </w:p>
        </w:tc>
        <w:tc>
          <w:tcPr>
            <w:tcW w:w="0" w:type="auto"/>
            <w:hideMark/>
          </w:tcPr>
          <w:p w:rsidR="00BB47C9" w:rsidRPr="00BB47C9" w:rsidRDefault="00BB47C9" w:rsidP="00BB47C9">
            <w:pPr>
              <w:pStyle w:val="ab"/>
            </w:pPr>
            <w:r w:rsidRPr="00BB47C9">
              <w:t>Средние и небольшие</w:t>
            </w:r>
          </w:p>
        </w:tc>
        <w:tc>
          <w:tcPr>
            <w:tcW w:w="0" w:type="auto"/>
            <w:hideMark/>
          </w:tcPr>
          <w:p w:rsidR="00BB47C9" w:rsidRPr="00BB47C9" w:rsidRDefault="00BB47C9" w:rsidP="00BB47C9">
            <w:pPr>
              <w:pStyle w:val="ab"/>
            </w:pPr>
            <w:r w:rsidRPr="00BB47C9">
              <w:t>Экономический</w:t>
            </w:r>
          </w:p>
        </w:tc>
      </w:tr>
    </w:tbl>
    <w:p w:rsidR="00BB47C9" w:rsidRDefault="00BB47C9" w:rsidP="00BB47C9"/>
    <w:p w:rsidR="00BB47C9" w:rsidRPr="00BB47C9" w:rsidRDefault="00BB47C9" w:rsidP="00BB47C9">
      <w:proofErr w:type="gramStart"/>
      <w:r w:rsidRPr="00BB47C9">
        <w:t>Таким образом, изучение современных инновационных рисков позволяет сделать вывод, что инновационные процессы на любом уровне экономики требуют создания определённого механизма управления рисками инновационного проекта, представляющего собой совокупность систематических мероприятий, направленных как на предотвращение наступления рисковых событий, так и на реагирование на них с целью уменьшения отрицательных и усиления положительных последствий их наступления.</w:t>
      </w:r>
      <w:proofErr w:type="gramEnd"/>
      <w:r w:rsidRPr="00BB47C9">
        <w:t xml:space="preserve"> Система управления инновационными рисками включает в себя процессы планирования управления рисками, идентификации, анализа, разработки плана по инновационным рискам, организации мероприятий по отслеживанию и реагированию на риски.</w:t>
      </w:r>
    </w:p>
    <w:p w:rsidR="00BB47C9" w:rsidRPr="00BB47C9" w:rsidRDefault="00BB47C9" w:rsidP="00BB47C9">
      <w:pPr>
        <w:spacing w:before="300" w:line="240" w:lineRule="auto"/>
        <w:ind w:firstLine="0"/>
        <w:rPr>
          <w:rFonts w:eastAsia="Times New Roman" w:cs="Times New Roman"/>
          <w:color w:val="000000"/>
          <w:sz w:val="21"/>
          <w:szCs w:val="21"/>
          <w:lang w:eastAsia="ru-RU"/>
        </w:rPr>
      </w:pPr>
      <w:r w:rsidRPr="00BB47C9">
        <w:rPr>
          <w:rFonts w:eastAsia="Times New Roman" w:cs="Times New Roman"/>
          <w:color w:val="000000"/>
          <w:sz w:val="21"/>
          <w:szCs w:val="21"/>
          <w:lang w:eastAsia="ru-RU"/>
        </w:rPr>
        <w:t> </w:t>
      </w:r>
    </w:p>
    <w:p w:rsidR="00B87242" w:rsidRPr="00B87242" w:rsidRDefault="00B87242" w:rsidP="00B87242"/>
    <w:p w:rsidR="00B87242" w:rsidRDefault="00B87242">
      <w:pPr>
        <w:spacing w:after="200" w:line="276" w:lineRule="auto"/>
        <w:ind w:firstLine="0"/>
        <w:jc w:val="left"/>
        <w:rPr>
          <w:rFonts w:eastAsiaTheme="majorEastAsia" w:cstheme="majorBidi"/>
          <w:b/>
          <w:bCs/>
          <w:szCs w:val="28"/>
        </w:rPr>
      </w:pPr>
      <w:r>
        <w:br w:type="page"/>
      </w:r>
    </w:p>
    <w:p w:rsidR="00B87242" w:rsidRDefault="00EA2E1F" w:rsidP="00186EFD">
      <w:pPr>
        <w:pStyle w:val="1"/>
      </w:pPr>
      <w:bookmarkStart w:id="2" w:name="_Toc512240479"/>
      <w:r w:rsidRPr="00B87242">
        <w:lastRenderedPageBreak/>
        <w:t>3. Управление персоналом в инновационной деятельности</w:t>
      </w:r>
      <w:bookmarkEnd w:id="2"/>
    </w:p>
    <w:p w:rsidR="00BB47C9" w:rsidRPr="00BB47C9" w:rsidRDefault="00BB47C9" w:rsidP="00BB47C9">
      <w:r w:rsidRPr="00BB47C9">
        <w:t>Персонал является важнейшей функциональной подсистемой предприятия и представляет собой ценнейший ресурс инновационного развития. Обладая особыми стратегическими и оперативными функциями, человеческий фактор играет центральную роль в интеллектуализации и информатизации производства. Система управления персоналом очень разносторонняя и многогранная. Она включает в себя все аспекты взаимодействия работников с организацией</w:t>
      </w:r>
      <w:proofErr w:type="gramStart"/>
      <w:r w:rsidRPr="00BB47C9">
        <w:t xml:space="preserve"> .</w:t>
      </w:r>
      <w:proofErr w:type="gramEnd"/>
    </w:p>
    <w:p w:rsidR="00BB47C9" w:rsidRPr="00BB47C9" w:rsidRDefault="00BB47C9" w:rsidP="00BB47C9">
      <w:r w:rsidRPr="00BB47C9">
        <w:t>Специалисты отмечают, что управление персоналом в инновационной организации имеет ряд особенностей. К ним относится:</w:t>
      </w:r>
    </w:p>
    <w:p w:rsidR="00BB47C9" w:rsidRPr="00BB47C9" w:rsidRDefault="00BB47C9" w:rsidP="00BB47C9">
      <w:pPr>
        <w:pStyle w:val="ac"/>
        <w:numPr>
          <w:ilvl w:val="0"/>
          <w:numId w:val="2"/>
        </w:numPr>
        <w:ind w:left="0" w:firstLine="567"/>
      </w:pPr>
      <w:r w:rsidRPr="00BB47C9">
        <w:t>новизна и сложность работ участников инновационного процесса;</w:t>
      </w:r>
    </w:p>
    <w:p w:rsidR="00BB47C9" w:rsidRPr="00BB47C9" w:rsidRDefault="00BB47C9" w:rsidP="00BB47C9">
      <w:pPr>
        <w:pStyle w:val="ac"/>
        <w:numPr>
          <w:ilvl w:val="0"/>
          <w:numId w:val="2"/>
        </w:numPr>
        <w:ind w:left="0" w:firstLine="567"/>
      </w:pPr>
      <w:r w:rsidRPr="00BB47C9">
        <w:t>широкий диапазон характеристик личности творческих работников;</w:t>
      </w:r>
    </w:p>
    <w:p w:rsidR="00BB47C9" w:rsidRPr="00BB47C9" w:rsidRDefault="00BB47C9" w:rsidP="00BB47C9">
      <w:pPr>
        <w:pStyle w:val="ac"/>
        <w:numPr>
          <w:ilvl w:val="0"/>
          <w:numId w:val="2"/>
        </w:numPr>
        <w:ind w:left="0" w:firstLine="567"/>
      </w:pPr>
      <w:r w:rsidRPr="00BB47C9">
        <w:t>высокий риск инвестирования и неопределенности конечных результатов деятельности;</w:t>
      </w:r>
    </w:p>
    <w:p w:rsidR="00BB47C9" w:rsidRPr="00BB47C9" w:rsidRDefault="00BB47C9" w:rsidP="00BB47C9">
      <w:pPr>
        <w:pStyle w:val="ac"/>
        <w:numPr>
          <w:ilvl w:val="0"/>
          <w:numId w:val="2"/>
        </w:numPr>
        <w:ind w:left="0" w:firstLine="567"/>
      </w:pPr>
      <w:r w:rsidRPr="00BB47C9">
        <w:t>слабое информационное обеспечение инновационного процесса;</w:t>
      </w:r>
    </w:p>
    <w:p w:rsidR="00BB47C9" w:rsidRPr="00BB47C9" w:rsidRDefault="00BB47C9" w:rsidP="00BB47C9">
      <w:pPr>
        <w:pStyle w:val="ac"/>
        <w:numPr>
          <w:ilvl w:val="0"/>
          <w:numId w:val="2"/>
        </w:numPr>
        <w:ind w:left="0" w:firstLine="567"/>
      </w:pPr>
      <w:r w:rsidRPr="00BB47C9">
        <w:t>высокая доля банкротств венчурного бизнеса;</w:t>
      </w:r>
    </w:p>
    <w:p w:rsidR="00BB47C9" w:rsidRPr="00BB47C9" w:rsidRDefault="00BB47C9" w:rsidP="00BB47C9">
      <w:pPr>
        <w:pStyle w:val="ac"/>
        <w:numPr>
          <w:ilvl w:val="0"/>
          <w:numId w:val="2"/>
        </w:numPr>
        <w:ind w:left="0" w:firstLine="567"/>
      </w:pPr>
      <w:r w:rsidRPr="00BB47C9">
        <w:t>неопределенность параметров организации труда;</w:t>
      </w:r>
    </w:p>
    <w:p w:rsidR="00BB47C9" w:rsidRPr="00BB47C9" w:rsidRDefault="00BB47C9" w:rsidP="00BB47C9">
      <w:pPr>
        <w:pStyle w:val="ac"/>
        <w:numPr>
          <w:ilvl w:val="0"/>
          <w:numId w:val="2"/>
        </w:numPr>
        <w:ind w:left="0" w:firstLine="567"/>
      </w:pPr>
      <w:r w:rsidRPr="00BB47C9">
        <w:t>большая текучесть кадров среди научных работников и специалистов;</w:t>
      </w:r>
    </w:p>
    <w:p w:rsidR="00BB47C9" w:rsidRPr="00BB47C9" w:rsidRDefault="00BB47C9" w:rsidP="00BB47C9">
      <w:pPr>
        <w:pStyle w:val="ac"/>
        <w:numPr>
          <w:ilvl w:val="0"/>
          <w:numId w:val="2"/>
        </w:numPr>
        <w:ind w:left="0" w:firstLine="567"/>
      </w:pPr>
      <w:r w:rsidRPr="00BB47C9">
        <w:t>возможность получения большого дохода в случае успеха;</w:t>
      </w:r>
    </w:p>
    <w:p w:rsidR="00BB47C9" w:rsidRPr="00BB47C9" w:rsidRDefault="00BB47C9" w:rsidP="00BB47C9">
      <w:pPr>
        <w:pStyle w:val="ac"/>
        <w:numPr>
          <w:ilvl w:val="0"/>
          <w:numId w:val="2"/>
        </w:numPr>
        <w:ind w:left="0" w:firstLine="567"/>
      </w:pPr>
      <w:r w:rsidRPr="00BB47C9">
        <w:t xml:space="preserve">возможность реализации </w:t>
      </w:r>
      <w:proofErr w:type="gramStart"/>
      <w:r w:rsidRPr="00BB47C9">
        <w:t>высших</w:t>
      </w:r>
      <w:proofErr w:type="gramEnd"/>
      <w:r w:rsidRPr="00BB47C9">
        <w:t>.</w:t>
      </w:r>
    </w:p>
    <w:p w:rsidR="00BB47C9" w:rsidRPr="00BB47C9" w:rsidRDefault="00BB47C9" w:rsidP="00BB47C9">
      <w:r w:rsidRPr="00BB47C9">
        <w:t xml:space="preserve">При рассмотрении проблем и факторов интенсификации научной деятельности специалисты выделяют три группы работников, исходя из деления их по типам мотивации. К первой группе относятся подлинные энтузиасты, ученые классического типа, для которых процесс познания представляет </w:t>
      </w:r>
      <w:proofErr w:type="spellStart"/>
      <w:r w:rsidRPr="00BB47C9">
        <w:t>самоценность</w:t>
      </w:r>
      <w:proofErr w:type="spellEnd"/>
      <w:r w:rsidRPr="00BB47C9">
        <w:t xml:space="preserve"> и способ самореализации («романтики» науки).</w:t>
      </w:r>
    </w:p>
    <w:p w:rsidR="00BB47C9" w:rsidRPr="00BB47C9" w:rsidRDefault="00BB47C9" w:rsidP="00BB47C9">
      <w:r w:rsidRPr="00BB47C9">
        <w:t xml:space="preserve">Другая (наиболее распространенная) группа включает профессиональных и компетентных работников, трезво смотрящих на жизнь и организацию науки, ее роли в обществе. Они реалистичны и стремятся сочетать научное творчество с заслуженными материальными благами, </w:t>
      </w:r>
      <w:r w:rsidRPr="00BB47C9">
        <w:lastRenderedPageBreak/>
        <w:t>которые должны стимулировать эффективную работу ученых. Эта преимущественно инструментальная мотивация вполне соответствует отношению к труду как к средству достижения других жизненных целей, а не как к самоценной деятельности. Третья группа научного сообщества образуется из честолюбивых, инициативных и достаточно прагматичных ученых, обеспокоенных достижением высокого положения в официальной структуре.</w:t>
      </w:r>
    </w:p>
    <w:p w:rsidR="00BB47C9" w:rsidRPr="00BB47C9" w:rsidRDefault="00BB47C9" w:rsidP="00BB47C9">
      <w:r w:rsidRPr="00BB47C9">
        <w:t>Резкое изменение экономической ситуации в России повлияло на систему ценностей. Возникновение новых возможностей привело к увеличению роли денег, а это повлияло на совокупность мотивационных установок ученых. На первый план у многих из них вышли материальные потребности, при этом профессиональные интересы переместились на второй план.</w:t>
      </w:r>
    </w:p>
    <w:p w:rsidR="00BB47C9" w:rsidRPr="00BB47C9" w:rsidRDefault="00BB47C9" w:rsidP="00BB47C9">
      <w:r w:rsidRPr="00BB47C9">
        <w:t xml:space="preserve">Роль денег возросла еще и потому, что значительному числу научных работников России сегодня не удается реализовать даже их физиологические потребности, сфера науки испытывает те же деформации, что и общество в целом. </w:t>
      </w:r>
      <w:proofErr w:type="gramStart"/>
      <w:r w:rsidRPr="00BB47C9">
        <w:t xml:space="preserve">В российской науке в настоящее время отсутствует средний класс: есть группа благополучных ученых (по экспертным оценкам, не более 10% от общего числа занятых в этой сфере) - </w:t>
      </w:r>
      <w:proofErr w:type="spellStart"/>
      <w:r w:rsidRPr="00BB47C9">
        <w:t>научноадминистративная</w:t>
      </w:r>
      <w:proofErr w:type="spellEnd"/>
      <w:r w:rsidRPr="00BB47C9">
        <w:t xml:space="preserve"> элита с развитыми внутренними и международными контактами, и огромный слой ученых, работающих на грани нищеты, из которых 10% активно ищут возможности для работы по специальности за рубежом, 30% исключают свой отъезд и 30</w:t>
      </w:r>
      <w:proofErr w:type="gramEnd"/>
      <w:r w:rsidRPr="00BB47C9">
        <w:t>% находятся в пассивном поиске. До 40% ученых работают с различными фондами в РФ и за рубежом с целью получения грантов на дополнительные работы, 20% ориентированы на временную эмиграцию для получения дополнительного дохода</w:t>
      </w:r>
      <w:proofErr w:type="gramStart"/>
      <w:r w:rsidRPr="00BB47C9">
        <w:t xml:space="preserve"> .</w:t>
      </w:r>
      <w:proofErr w:type="gramEnd"/>
    </w:p>
    <w:p w:rsidR="00BB47C9" w:rsidRPr="00BB47C9" w:rsidRDefault="00BB47C9" w:rsidP="00BB47C9">
      <w:r w:rsidRPr="00BB47C9">
        <w:t xml:space="preserve">Зарубежные специалисты отмечают: материальные потребности играют у ученых важную роль среди других потребностей. Поэтому во многих наукоемких фирмах разрабатываются различные системы должностей и званий для научно-технического персонала. В фирмах Европы </w:t>
      </w:r>
      <w:r w:rsidRPr="00BB47C9">
        <w:lastRenderedPageBreak/>
        <w:t xml:space="preserve">начинает активно использоваться американский опыт разграничения научных и научно-административных функций работников в сфере НИОКР. Ряд отечественных ученых считает, что в инновационном менеджменте следует заниматься персональным менеджментом (вместо «управления персоналом»): технический прогресс является результатом </w:t>
      </w:r>
      <w:proofErr w:type="gramStart"/>
      <w:r w:rsidRPr="00BB47C9">
        <w:t>деятельности</w:t>
      </w:r>
      <w:proofErr w:type="gramEnd"/>
      <w:r w:rsidRPr="00BB47C9">
        <w:t xml:space="preserve"> прежде всего личностей. У истоков почти каждого открытия стояли личности и индивидуальная, а не групповая деятельность. Это обусловливает необходимость системы обеспечения индивидуального труда, при котором специалист становится участником постановки задач, составления плана работ, их оценки</w:t>
      </w:r>
      <w:proofErr w:type="gramStart"/>
      <w:r w:rsidRPr="00BB47C9">
        <w:t xml:space="preserve"> .</w:t>
      </w:r>
      <w:proofErr w:type="gramEnd"/>
    </w:p>
    <w:p w:rsidR="00BB47C9" w:rsidRPr="00BB47C9" w:rsidRDefault="00BB47C9" w:rsidP="00BB47C9">
      <w:r w:rsidRPr="00BB47C9">
        <w:t>Персонал инновационных организаций можно классифицировать по следующим четырем группам:</w:t>
      </w:r>
    </w:p>
    <w:p w:rsidR="00BB47C9" w:rsidRPr="00BB47C9" w:rsidRDefault="00BB47C9" w:rsidP="00BB47C9">
      <w:pPr>
        <w:pStyle w:val="ac"/>
        <w:numPr>
          <w:ilvl w:val="0"/>
          <w:numId w:val="2"/>
        </w:numPr>
        <w:ind w:left="0" w:firstLine="709"/>
      </w:pPr>
      <w:r w:rsidRPr="00BB47C9">
        <w:t>научные работники, научно-руководящий персонал;</w:t>
      </w:r>
    </w:p>
    <w:p w:rsidR="00BB47C9" w:rsidRPr="00BB47C9" w:rsidRDefault="00BB47C9" w:rsidP="00BB47C9">
      <w:pPr>
        <w:pStyle w:val="ac"/>
        <w:numPr>
          <w:ilvl w:val="0"/>
          <w:numId w:val="2"/>
        </w:numPr>
        <w:ind w:left="0" w:firstLine="709"/>
      </w:pPr>
      <w:r w:rsidRPr="00BB47C9">
        <w:t>научно-технический и научно-вспомогательный персонал (конструкторы, технологи, механики, исследователи-экспериментаторы и другие работники);</w:t>
      </w:r>
    </w:p>
    <w:p w:rsidR="00BB47C9" w:rsidRPr="00BB47C9" w:rsidRDefault="00BB47C9" w:rsidP="00BB47C9">
      <w:pPr>
        <w:pStyle w:val="ac"/>
        <w:numPr>
          <w:ilvl w:val="0"/>
          <w:numId w:val="2"/>
        </w:numPr>
        <w:ind w:left="0" w:firstLine="709"/>
      </w:pPr>
      <w:r w:rsidRPr="00BB47C9">
        <w:t>производственный персонал (рабочие, участвующие в технологических процессах по изготовлению материальных ценностей или в работах по оказанию производственных услуг, лаборанты всех профессий);</w:t>
      </w:r>
    </w:p>
    <w:p w:rsidR="00BB47C9" w:rsidRPr="00BB47C9" w:rsidRDefault="00BB47C9" w:rsidP="00BB47C9">
      <w:pPr>
        <w:pStyle w:val="ac"/>
        <w:numPr>
          <w:ilvl w:val="0"/>
          <w:numId w:val="2"/>
        </w:numPr>
        <w:ind w:left="0" w:firstLine="709"/>
      </w:pPr>
      <w:r w:rsidRPr="00BB47C9">
        <w:t>административно-хозяйственный персонал (делопроизводители, секретари-референты, хозяйственники, экспедиторы и т.п.).</w:t>
      </w:r>
    </w:p>
    <w:p w:rsidR="00BB47C9" w:rsidRPr="00BB47C9" w:rsidRDefault="00BB47C9" w:rsidP="00BB47C9">
      <w:r w:rsidRPr="00BB47C9">
        <w:t xml:space="preserve">Персонал научной инновационной организации в процессе своей творческой деятельности становится саморегулируемой системой, на которую менеджер может влиять только косвенно (например, заменяя жесткое администрирование более гибким стилем руководства, учитывающим особенности характеров научных работников). Это может быть проведение политики гласности результатов деятельности, признание личных заслуг конкретных специалистов, предоставление информации для </w:t>
      </w:r>
      <w:r w:rsidRPr="00BB47C9">
        <w:lastRenderedPageBreak/>
        <w:t>самооценки своей деятельности (при необходимости конфиденциального характера), соучастие в социальных и личных делах.</w:t>
      </w:r>
    </w:p>
    <w:p w:rsidR="00BB47C9" w:rsidRPr="00BB47C9" w:rsidRDefault="00BB47C9" w:rsidP="00BB47C9">
      <w:r w:rsidRPr="00BB47C9">
        <w:t xml:space="preserve">Инновационные менеджеры могут действовать в различных организационных структурах (академиях наук, вузах, научных обществах, исследовательских организациях, конструкторских бюро, инжиниринговых компаниях и др.), создавая творческие коллективы, занимаясь поиском и распространением новшеств, формированием портфеля заказов на научные исследования и разработки. Они управляют научными коллективами, координируют научные исследования. Все это предъявляет высокие требования к квалификации инновационных управленцев: они должны обладать научно-техническим и экономико-психологическим потенциалом, </w:t>
      </w:r>
      <w:proofErr w:type="gramStart"/>
      <w:r w:rsidRPr="00BB47C9">
        <w:t>качествами</w:t>
      </w:r>
      <w:proofErr w:type="gramEnd"/>
      <w:r w:rsidRPr="00BB47C9">
        <w:t xml:space="preserve"> как традиционного менеджера, так и ученого-исследователя, быть квалифицированными экономистами, способными оценить эффективность нововведений и управления инновациями.</w:t>
      </w:r>
    </w:p>
    <w:p w:rsidR="00BB47C9" w:rsidRPr="00BB47C9" w:rsidRDefault="00BB47C9" w:rsidP="00BB47C9">
      <w:r w:rsidRPr="00BB47C9">
        <w:t>Подходы к управлению персоналом в инновационной деятельности претерпевают значительные изменения по сравнению с традиционным менеджментом, уже начиная с этапа планирования и отбора специалистов. Инновационное развитие экономики предъявляет жесткие требования к качеству персонала и вследствие внедрения высоких технологий может приводить к значительным увольнениям. Так, например, при внедрении и</w:t>
      </w:r>
      <w:proofErr w:type="gramStart"/>
      <w:r w:rsidRPr="00BB47C9">
        <w:t>н-</w:t>
      </w:r>
      <w:proofErr w:type="gramEnd"/>
      <w:r w:rsidRPr="00BB47C9">
        <w:t xml:space="preserve"> но-</w:t>
      </w:r>
      <w:proofErr w:type="spellStart"/>
      <w:r w:rsidRPr="00BB47C9">
        <w:t>ваций</w:t>
      </w:r>
      <w:proofErr w:type="spellEnd"/>
      <w:r w:rsidRPr="00BB47C9">
        <w:t xml:space="preserve"> в области высоких технологий компании </w:t>
      </w:r>
      <w:proofErr w:type="spellStart"/>
      <w:r w:rsidRPr="00BB47C9">
        <w:t>Procter&amp;Gamble</w:t>
      </w:r>
      <w:proofErr w:type="spellEnd"/>
      <w:r w:rsidRPr="00BB47C9">
        <w:t xml:space="preserve">, </w:t>
      </w:r>
      <w:proofErr w:type="spellStart"/>
      <w:r w:rsidRPr="00BB47C9">
        <w:t>Johnson&amp;Johnson</w:t>
      </w:r>
      <w:proofErr w:type="spellEnd"/>
      <w:r w:rsidRPr="00BB47C9">
        <w:t>, IBM, ряд фирм в Силиконовой долине ежегодно увольняют большое количество работников .</w:t>
      </w:r>
    </w:p>
    <w:p w:rsidR="00BB47C9" w:rsidRDefault="00BB47C9" w:rsidP="00BB47C9">
      <w:r w:rsidRPr="00BB47C9">
        <w:t>Многообразное сотрудничество руководителя с научным коллективом, умение организовать процесс общения с подчиненными и учитывать их моральные качества, склонности и интересы, мотивы поведения, объективный подход при разрешении конфликтов, неформальные отношения в разумных пределах - это основа эффективного управления научным персоналом в инновационных организациях.</w:t>
      </w:r>
    </w:p>
    <w:p w:rsidR="00BB47C9" w:rsidRDefault="00BB47C9">
      <w:pPr>
        <w:spacing w:after="200" w:line="276" w:lineRule="auto"/>
        <w:ind w:firstLine="0"/>
        <w:jc w:val="left"/>
      </w:pPr>
      <w:r>
        <w:br w:type="page"/>
      </w:r>
    </w:p>
    <w:p w:rsidR="00BB47C9" w:rsidRDefault="00BB47C9" w:rsidP="00186EFD">
      <w:pPr>
        <w:pStyle w:val="1"/>
      </w:pPr>
      <w:bookmarkStart w:id="3" w:name="_Toc512240480"/>
      <w:r>
        <w:lastRenderedPageBreak/>
        <w:t>Список литературы</w:t>
      </w:r>
      <w:bookmarkEnd w:id="3"/>
    </w:p>
    <w:p w:rsidR="00767146" w:rsidRDefault="00767146" w:rsidP="00767146">
      <w:pPr>
        <w:pStyle w:val="ac"/>
        <w:numPr>
          <w:ilvl w:val="0"/>
          <w:numId w:val="3"/>
        </w:numPr>
        <w:ind w:left="0" w:firstLine="709"/>
      </w:pPr>
      <w:r>
        <w:t>Беляев, Ю.М. Инновационный менеджмент: учебник для бакалавров / Ю.М. Беляев. - М.: Дашков и К, 2016. - 220 c.</w:t>
      </w:r>
    </w:p>
    <w:p w:rsidR="00767146" w:rsidRDefault="00767146" w:rsidP="00767146">
      <w:pPr>
        <w:pStyle w:val="ac"/>
        <w:numPr>
          <w:ilvl w:val="0"/>
          <w:numId w:val="3"/>
        </w:numPr>
        <w:ind w:left="0" w:firstLine="709"/>
      </w:pPr>
      <w:r>
        <w:t>Грибов, В.Д. Инновационный менеджмент: Учебное пособие / В.Д. Грибов, Л.П. Никитина. - М.: НИЦ ИНФРА-М, 2017. - 311 c.</w:t>
      </w:r>
    </w:p>
    <w:p w:rsidR="00767146" w:rsidRDefault="00767146" w:rsidP="00767146">
      <w:pPr>
        <w:pStyle w:val="ac"/>
        <w:numPr>
          <w:ilvl w:val="0"/>
          <w:numId w:val="3"/>
        </w:numPr>
        <w:ind w:left="0" w:firstLine="709"/>
      </w:pPr>
      <w:proofErr w:type="spellStart"/>
      <w:r>
        <w:t>Кожухар</w:t>
      </w:r>
      <w:proofErr w:type="spellEnd"/>
      <w:r>
        <w:t xml:space="preserve">, В.М. Инновационный менеджмент: Практикум / В.М. </w:t>
      </w:r>
      <w:proofErr w:type="spellStart"/>
      <w:r>
        <w:t>Кожухар</w:t>
      </w:r>
      <w:proofErr w:type="spellEnd"/>
      <w:r>
        <w:t>. - М.: Дашков и К, 2015. - 200 c.</w:t>
      </w:r>
    </w:p>
    <w:p w:rsidR="00767146" w:rsidRDefault="00767146" w:rsidP="00767146">
      <w:pPr>
        <w:pStyle w:val="ac"/>
        <w:numPr>
          <w:ilvl w:val="0"/>
          <w:numId w:val="3"/>
        </w:numPr>
        <w:ind w:left="0" w:firstLine="709"/>
      </w:pPr>
      <w:r>
        <w:t>Кузнецов, Б.Т. Инновационный менеджмент: Учебное пособие для студентов вузов / Б.Т. Кузнецов, А.Б. Кузнецов. - М.: ЮНИТИ-ДАНА, 2017. - 367 c.</w:t>
      </w:r>
    </w:p>
    <w:p w:rsidR="00767146" w:rsidRDefault="00767146" w:rsidP="00767146">
      <w:pPr>
        <w:pStyle w:val="ac"/>
        <w:numPr>
          <w:ilvl w:val="0"/>
          <w:numId w:val="3"/>
        </w:numPr>
        <w:ind w:left="0" w:firstLine="709"/>
      </w:pPr>
      <w:r>
        <w:t>Медынский, В.Г. Инновационный менеджмент: Учебник / В.Г. Медынский. - М.: НИЦ ИНФРА-М, 2016. - 295 c.</w:t>
      </w:r>
    </w:p>
    <w:p w:rsidR="00767146" w:rsidRDefault="00767146" w:rsidP="00767146">
      <w:pPr>
        <w:pStyle w:val="ac"/>
        <w:numPr>
          <w:ilvl w:val="0"/>
          <w:numId w:val="3"/>
        </w:numPr>
        <w:ind w:left="0" w:firstLine="709"/>
      </w:pPr>
      <w:proofErr w:type="spellStart"/>
      <w:r>
        <w:t>Мухамедьяров</w:t>
      </w:r>
      <w:proofErr w:type="spellEnd"/>
      <w:r>
        <w:t xml:space="preserve">, А.М. Инновационный менеджмент: Учебное пособие / А.М. </w:t>
      </w:r>
      <w:proofErr w:type="spellStart"/>
      <w:r>
        <w:t>Мухамедьяров</w:t>
      </w:r>
      <w:proofErr w:type="spellEnd"/>
      <w:r>
        <w:t>. - М.: ИНФРА-М, 2015. - 176 c.</w:t>
      </w:r>
    </w:p>
    <w:p w:rsidR="00767146" w:rsidRDefault="00767146" w:rsidP="00767146">
      <w:pPr>
        <w:pStyle w:val="ac"/>
        <w:numPr>
          <w:ilvl w:val="0"/>
          <w:numId w:val="3"/>
        </w:numPr>
        <w:ind w:left="0" w:firstLine="709"/>
      </w:pPr>
      <w:r>
        <w:t>Якобсон, А.Я. Инновационный менеджмент: Учебное пособие / А.Я. Якобсон. - М.: Омега-Л, 2018. - 176 c.</w:t>
      </w:r>
    </w:p>
    <w:p w:rsidR="00BB47C9" w:rsidRPr="00BB47C9" w:rsidRDefault="00BB47C9" w:rsidP="00BB47C9"/>
    <w:p w:rsidR="00BB47C9" w:rsidRPr="00B87242" w:rsidRDefault="00BB47C9"/>
    <w:sectPr w:rsidR="00BB47C9" w:rsidRPr="00B87242" w:rsidSect="002F2EDC">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C91" w:rsidRDefault="00685C91" w:rsidP="00777723">
      <w:pPr>
        <w:spacing w:line="240" w:lineRule="auto"/>
      </w:pPr>
      <w:r>
        <w:separator/>
      </w:r>
    </w:p>
  </w:endnote>
  <w:endnote w:type="continuationSeparator" w:id="0">
    <w:p w:rsidR="00685C91" w:rsidRDefault="00685C91" w:rsidP="007777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EDC" w:rsidRDefault="002F2EDC">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764721"/>
      <w:docPartObj>
        <w:docPartGallery w:val="Page Numbers (Bottom of Page)"/>
        <w:docPartUnique/>
      </w:docPartObj>
    </w:sdtPr>
    <w:sdtEndPr/>
    <w:sdtContent>
      <w:bookmarkStart w:id="4" w:name="_GoBack" w:displacedByCustomXml="prev"/>
      <w:bookmarkEnd w:id="4" w:displacedByCustomXml="prev"/>
      <w:p w:rsidR="00777723" w:rsidRDefault="00777723">
        <w:pPr>
          <w:pStyle w:val="a6"/>
          <w:jc w:val="center"/>
        </w:pPr>
        <w:r>
          <w:fldChar w:fldCharType="begin"/>
        </w:r>
        <w:r>
          <w:instrText>PAGE   \* MERGEFORMAT</w:instrText>
        </w:r>
        <w:r>
          <w:fldChar w:fldCharType="separate"/>
        </w:r>
        <w:r w:rsidR="002F2EDC">
          <w:rPr>
            <w:noProof/>
          </w:rPr>
          <w:t>1</w:t>
        </w:r>
        <w:r>
          <w:fldChar w:fldCharType="end"/>
        </w:r>
      </w:p>
    </w:sdtContent>
  </w:sdt>
  <w:p w:rsidR="00777723" w:rsidRDefault="0077772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EDC" w:rsidRDefault="002F2ED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C91" w:rsidRDefault="00685C91" w:rsidP="00777723">
      <w:pPr>
        <w:spacing w:line="240" w:lineRule="auto"/>
      </w:pPr>
      <w:r>
        <w:separator/>
      </w:r>
    </w:p>
  </w:footnote>
  <w:footnote w:type="continuationSeparator" w:id="0">
    <w:p w:rsidR="00685C91" w:rsidRDefault="00685C91" w:rsidP="0077772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EDC" w:rsidRDefault="002F2EDC">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EDC" w:rsidRDefault="002F2EDC">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EDC" w:rsidRDefault="002F2ED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924A1"/>
    <w:multiLevelType w:val="hybridMultilevel"/>
    <w:tmpl w:val="DF52CF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F690147"/>
    <w:multiLevelType w:val="hybridMultilevel"/>
    <w:tmpl w:val="5C6274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C6F107D"/>
    <w:multiLevelType w:val="hybridMultilevel"/>
    <w:tmpl w:val="103C41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E1F"/>
    <w:rsid w:val="00186EFD"/>
    <w:rsid w:val="002F2EDC"/>
    <w:rsid w:val="00685C91"/>
    <w:rsid w:val="00767146"/>
    <w:rsid w:val="00777723"/>
    <w:rsid w:val="009A3C15"/>
    <w:rsid w:val="00A25242"/>
    <w:rsid w:val="00B63C3B"/>
    <w:rsid w:val="00B87242"/>
    <w:rsid w:val="00BB47C9"/>
    <w:rsid w:val="00C6523C"/>
    <w:rsid w:val="00D27203"/>
    <w:rsid w:val="00EA2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7242"/>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B87242"/>
    <w:pPr>
      <w:keepNext/>
      <w:keepLines/>
      <w:spacing w:before="240" w:after="240"/>
      <w:ind w:firstLine="0"/>
      <w:jc w:val="center"/>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mpedfont15mailrucssattributepostfix">
    <w:name w:val="bumpedfont15_mailru_css_attribute_postfix"/>
    <w:basedOn w:val="a0"/>
    <w:rsid w:val="00EA2E1F"/>
  </w:style>
  <w:style w:type="character" w:customStyle="1" w:styleId="10">
    <w:name w:val="Заголовок 1 Знак"/>
    <w:basedOn w:val="a0"/>
    <w:link w:val="1"/>
    <w:uiPriority w:val="9"/>
    <w:rsid w:val="00B87242"/>
    <w:rPr>
      <w:rFonts w:ascii="Times New Roman" w:eastAsiaTheme="majorEastAsia" w:hAnsi="Times New Roman" w:cstheme="majorBidi"/>
      <w:b/>
      <w:bCs/>
      <w:sz w:val="28"/>
      <w:szCs w:val="28"/>
    </w:rPr>
  </w:style>
  <w:style w:type="paragraph" w:styleId="a3">
    <w:name w:val="Normal (Web)"/>
    <w:basedOn w:val="a"/>
    <w:uiPriority w:val="99"/>
    <w:unhideWhenUsed/>
    <w:rsid w:val="00D27203"/>
    <w:pPr>
      <w:spacing w:before="100" w:beforeAutospacing="1" w:after="100" w:afterAutospacing="1" w:line="240" w:lineRule="auto"/>
      <w:ind w:firstLine="0"/>
      <w:jc w:val="left"/>
    </w:pPr>
    <w:rPr>
      <w:rFonts w:eastAsia="Times New Roman" w:cs="Times New Roman"/>
      <w:sz w:val="24"/>
      <w:szCs w:val="24"/>
      <w:lang w:eastAsia="ru-RU"/>
    </w:rPr>
  </w:style>
  <w:style w:type="paragraph" w:styleId="a4">
    <w:name w:val="header"/>
    <w:basedOn w:val="a"/>
    <w:link w:val="a5"/>
    <w:uiPriority w:val="99"/>
    <w:unhideWhenUsed/>
    <w:rsid w:val="00777723"/>
    <w:pPr>
      <w:tabs>
        <w:tab w:val="center" w:pos="4677"/>
        <w:tab w:val="right" w:pos="9355"/>
      </w:tabs>
      <w:spacing w:line="240" w:lineRule="auto"/>
    </w:pPr>
  </w:style>
  <w:style w:type="character" w:customStyle="1" w:styleId="a5">
    <w:name w:val="Верхний колонтитул Знак"/>
    <w:basedOn w:val="a0"/>
    <w:link w:val="a4"/>
    <w:uiPriority w:val="99"/>
    <w:rsid w:val="00777723"/>
    <w:rPr>
      <w:rFonts w:ascii="Times New Roman" w:hAnsi="Times New Roman"/>
      <w:sz w:val="28"/>
    </w:rPr>
  </w:style>
  <w:style w:type="paragraph" w:styleId="a6">
    <w:name w:val="footer"/>
    <w:basedOn w:val="a"/>
    <w:link w:val="a7"/>
    <w:uiPriority w:val="99"/>
    <w:unhideWhenUsed/>
    <w:rsid w:val="00777723"/>
    <w:pPr>
      <w:tabs>
        <w:tab w:val="center" w:pos="4677"/>
        <w:tab w:val="right" w:pos="9355"/>
      </w:tabs>
      <w:spacing w:line="240" w:lineRule="auto"/>
    </w:pPr>
  </w:style>
  <w:style w:type="character" w:customStyle="1" w:styleId="a7">
    <w:name w:val="Нижний колонтитул Знак"/>
    <w:basedOn w:val="a0"/>
    <w:link w:val="a6"/>
    <w:uiPriority w:val="99"/>
    <w:rsid w:val="00777723"/>
    <w:rPr>
      <w:rFonts w:ascii="Times New Roman" w:hAnsi="Times New Roman"/>
      <w:sz w:val="28"/>
    </w:rPr>
  </w:style>
  <w:style w:type="character" w:styleId="a8">
    <w:name w:val="Strong"/>
    <w:basedOn w:val="a0"/>
    <w:uiPriority w:val="22"/>
    <w:qFormat/>
    <w:rsid w:val="00BB47C9"/>
    <w:rPr>
      <w:b/>
      <w:bCs/>
    </w:rPr>
  </w:style>
  <w:style w:type="character" w:styleId="a9">
    <w:name w:val="Emphasis"/>
    <w:basedOn w:val="a0"/>
    <w:uiPriority w:val="20"/>
    <w:qFormat/>
    <w:rsid w:val="00BB47C9"/>
    <w:rPr>
      <w:i/>
      <w:iCs/>
    </w:rPr>
  </w:style>
  <w:style w:type="table" w:styleId="aa">
    <w:name w:val="Table Grid"/>
    <w:basedOn w:val="a1"/>
    <w:uiPriority w:val="59"/>
    <w:rsid w:val="00BB47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uiPriority w:val="1"/>
    <w:qFormat/>
    <w:rsid w:val="00BB47C9"/>
    <w:pPr>
      <w:spacing w:after="0" w:line="240" w:lineRule="auto"/>
      <w:jc w:val="both"/>
    </w:pPr>
    <w:rPr>
      <w:rFonts w:ascii="Times New Roman" w:hAnsi="Times New Roman"/>
      <w:sz w:val="24"/>
    </w:rPr>
  </w:style>
  <w:style w:type="paragraph" w:styleId="ac">
    <w:name w:val="List Paragraph"/>
    <w:basedOn w:val="a"/>
    <w:uiPriority w:val="34"/>
    <w:qFormat/>
    <w:rsid w:val="00BB47C9"/>
    <w:pPr>
      <w:ind w:left="720"/>
      <w:contextualSpacing/>
    </w:pPr>
  </w:style>
  <w:style w:type="character" w:styleId="ad">
    <w:name w:val="Hyperlink"/>
    <w:basedOn w:val="a0"/>
    <w:uiPriority w:val="99"/>
    <w:unhideWhenUsed/>
    <w:rsid w:val="00BB47C9"/>
    <w:rPr>
      <w:color w:val="0000FF"/>
      <w:u w:val="single"/>
    </w:rPr>
  </w:style>
  <w:style w:type="paragraph" w:styleId="ae">
    <w:name w:val="TOC Heading"/>
    <w:basedOn w:val="1"/>
    <w:next w:val="a"/>
    <w:uiPriority w:val="39"/>
    <w:semiHidden/>
    <w:unhideWhenUsed/>
    <w:qFormat/>
    <w:rsid w:val="00767146"/>
    <w:pPr>
      <w:spacing w:before="480" w:after="0" w:line="276" w:lineRule="auto"/>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767146"/>
    <w:pPr>
      <w:spacing w:after="100"/>
    </w:pPr>
  </w:style>
  <w:style w:type="paragraph" w:styleId="af">
    <w:name w:val="Balloon Text"/>
    <w:basedOn w:val="a"/>
    <w:link w:val="af0"/>
    <w:uiPriority w:val="99"/>
    <w:semiHidden/>
    <w:unhideWhenUsed/>
    <w:rsid w:val="00767146"/>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7671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7242"/>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B87242"/>
    <w:pPr>
      <w:keepNext/>
      <w:keepLines/>
      <w:spacing w:before="240" w:after="240"/>
      <w:ind w:firstLine="0"/>
      <w:jc w:val="center"/>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mpedfont15mailrucssattributepostfix">
    <w:name w:val="bumpedfont15_mailru_css_attribute_postfix"/>
    <w:basedOn w:val="a0"/>
    <w:rsid w:val="00EA2E1F"/>
  </w:style>
  <w:style w:type="character" w:customStyle="1" w:styleId="10">
    <w:name w:val="Заголовок 1 Знак"/>
    <w:basedOn w:val="a0"/>
    <w:link w:val="1"/>
    <w:uiPriority w:val="9"/>
    <w:rsid w:val="00B87242"/>
    <w:rPr>
      <w:rFonts w:ascii="Times New Roman" w:eastAsiaTheme="majorEastAsia" w:hAnsi="Times New Roman" w:cstheme="majorBidi"/>
      <w:b/>
      <w:bCs/>
      <w:sz w:val="28"/>
      <w:szCs w:val="28"/>
    </w:rPr>
  </w:style>
  <w:style w:type="paragraph" w:styleId="a3">
    <w:name w:val="Normal (Web)"/>
    <w:basedOn w:val="a"/>
    <w:uiPriority w:val="99"/>
    <w:unhideWhenUsed/>
    <w:rsid w:val="00D27203"/>
    <w:pPr>
      <w:spacing w:before="100" w:beforeAutospacing="1" w:after="100" w:afterAutospacing="1" w:line="240" w:lineRule="auto"/>
      <w:ind w:firstLine="0"/>
      <w:jc w:val="left"/>
    </w:pPr>
    <w:rPr>
      <w:rFonts w:eastAsia="Times New Roman" w:cs="Times New Roman"/>
      <w:sz w:val="24"/>
      <w:szCs w:val="24"/>
      <w:lang w:eastAsia="ru-RU"/>
    </w:rPr>
  </w:style>
  <w:style w:type="paragraph" w:styleId="a4">
    <w:name w:val="header"/>
    <w:basedOn w:val="a"/>
    <w:link w:val="a5"/>
    <w:uiPriority w:val="99"/>
    <w:unhideWhenUsed/>
    <w:rsid w:val="00777723"/>
    <w:pPr>
      <w:tabs>
        <w:tab w:val="center" w:pos="4677"/>
        <w:tab w:val="right" w:pos="9355"/>
      </w:tabs>
      <w:spacing w:line="240" w:lineRule="auto"/>
    </w:pPr>
  </w:style>
  <w:style w:type="character" w:customStyle="1" w:styleId="a5">
    <w:name w:val="Верхний колонтитул Знак"/>
    <w:basedOn w:val="a0"/>
    <w:link w:val="a4"/>
    <w:uiPriority w:val="99"/>
    <w:rsid w:val="00777723"/>
    <w:rPr>
      <w:rFonts w:ascii="Times New Roman" w:hAnsi="Times New Roman"/>
      <w:sz w:val="28"/>
    </w:rPr>
  </w:style>
  <w:style w:type="paragraph" w:styleId="a6">
    <w:name w:val="footer"/>
    <w:basedOn w:val="a"/>
    <w:link w:val="a7"/>
    <w:uiPriority w:val="99"/>
    <w:unhideWhenUsed/>
    <w:rsid w:val="00777723"/>
    <w:pPr>
      <w:tabs>
        <w:tab w:val="center" w:pos="4677"/>
        <w:tab w:val="right" w:pos="9355"/>
      </w:tabs>
      <w:spacing w:line="240" w:lineRule="auto"/>
    </w:pPr>
  </w:style>
  <w:style w:type="character" w:customStyle="1" w:styleId="a7">
    <w:name w:val="Нижний колонтитул Знак"/>
    <w:basedOn w:val="a0"/>
    <w:link w:val="a6"/>
    <w:uiPriority w:val="99"/>
    <w:rsid w:val="00777723"/>
    <w:rPr>
      <w:rFonts w:ascii="Times New Roman" w:hAnsi="Times New Roman"/>
      <w:sz w:val="28"/>
    </w:rPr>
  </w:style>
  <w:style w:type="character" w:styleId="a8">
    <w:name w:val="Strong"/>
    <w:basedOn w:val="a0"/>
    <w:uiPriority w:val="22"/>
    <w:qFormat/>
    <w:rsid w:val="00BB47C9"/>
    <w:rPr>
      <w:b/>
      <w:bCs/>
    </w:rPr>
  </w:style>
  <w:style w:type="character" w:styleId="a9">
    <w:name w:val="Emphasis"/>
    <w:basedOn w:val="a0"/>
    <w:uiPriority w:val="20"/>
    <w:qFormat/>
    <w:rsid w:val="00BB47C9"/>
    <w:rPr>
      <w:i/>
      <w:iCs/>
    </w:rPr>
  </w:style>
  <w:style w:type="table" w:styleId="aa">
    <w:name w:val="Table Grid"/>
    <w:basedOn w:val="a1"/>
    <w:uiPriority w:val="59"/>
    <w:rsid w:val="00BB47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uiPriority w:val="1"/>
    <w:qFormat/>
    <w:rsid w:val="00BB47C9"/>
    <w:pPr>
      <w:spacing w:after="0" w:line="240" w:lineRule="auto"/>
      <w:jc w:val="both"/>
    </w:pPr>
    <w:rPr>
      <w:rFonts w:ascii="Times New Roman" w:hAnsi="Times New Roman"/>
      <w:sz w:val="24"/>
    </w:rPr>
  </w:style>
  <w:style w:type="paragraph" w:styleId="ac">
    <w:name w:val="List Paragraph"/>
    <w:basedOn w:val="a"/>
    <w:uiPriority w:val="34"/>
    <w:qFormat/>
    <w:rsid w:val="00BB47C9"/>
    <w:pPr>
      <w:ind w:left="720"/>
      <w:contextualSpacing/>
    </w:pPr>
  </w:style>
  <w:style w:type="character" w:styleId="ad">
    <w:name w:val="Hyperlink"/>
    <w:basedOn w:val="a0"/>
    <w:uiPriority w:val="99"/>
    <w:unhideWhenUsed/>
    <w:rsid w:val="00BB47C9"/>
    <w:rPr>
      <w:color w:val="0000FF"/>
      <w:u w:val="single"/>
    </w:rPr>
  </w:style>
  <w:style w:type="paragraph" w:styleId="ae">
    <w:name w:val="TOC Heading"/>
    <w:basedOn w:val="1"/>
    <w:next w:val="a"/>
    <w:uiPriority w:val="39"/>
    <w:semiHidden/>
    <w:unhideWhenUsed/>
    <w:qFormat/>
    <w:rsid w:val="00767146"/>
    <w:pPr>
      <w:spacing w:before="480" w:after="0" w:line="276" w:lineRule="auto"/>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767146"/>
    <w:pPr>
      <w:spacing w:after="100"/>
    </w:pPr>
  </w:style>
  <w:style w:type="paragraph" w:styleId="af">
    <w:name w:val="Balloon Text"/>
    <w:basedOn w:val="a"/>
    <w:link w:val="af0"/>
    <w:uiPriority w:val="99"/>
    <w:semiHidden/>
    <w:unhideWhenUsed/>
    <w:rsid w:val="00767146"/>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7671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529438">
      <w:bodyDiv w:val="1"/>
      <w:marLeft w:val="0"/>
      <w:marRight w:val="0"/>
      <w:marTop w:val="0"/>
      <w:marBottom w:val="0"/>
      <w:divBdr>
        <w:top w:val="none" w:sz="0" w:space="0" w:color="auto"/>
        <w:left w:val="none" w:sz="0" w:space="0" w:color="auto"/>
        <w:bottom w:val="none" w:sz="0" w:space="0" w:color="auto"/>
        <w:right w:val="none" w:sz="0" w:space="0" w:color="auto"/>
      </w:divBdr>
    </w:div>
    <w:div w:id="449398574">
      <w:bodyDiv w:val="1"/>
      <w:marLeft w:val="0"/>
      <w:marRight w:val="0"/>
      <w:marTop w:val="0"/>
      <w:marBottom w:val="0"/>
      <w:divBdr>
        <w:top w:val="none" w:sz="0" w:space="0" w:color="auto"/>
        <w:left w:val="none" w:sz="0" w:space="0" w:color="auto"/>
        <w:bottom w:val="none" w:sz="0" w:space="0" w:color="auto"/>
        <w:right w:val="none" w:sz="0" w:space="0" w:color="auto"/>
      </w:divBdr>
    </w:div>
    <w:div w:id="1488670415">
      <w:bodyDiv w:val="1"/>
      <w:marLeft w:val="0"/>
      <w:marRight w:val="0"/>
      <w:marTop w:val="0"/>
      <w:marBottom w:val="0"/>
      <w:divBdr>
        <w:top w:val="none" w:sz="0" w:space="0" w:color="auto"/>
        <w:left w:val="none" w:sz="0" w:space="0" w:color="auto"/>
        <w:bottom w:val="none" w:sz="0" w:space="0" w:color="auto"/>
        <w:right w:val="none" w:sz="0" w:space="0" w:color="auto"/>
      </w:divBdr>
    </w:div>
    <w:div w:id="2091340650">
      <w:bodyDiv w:val="1"/>
      <w:marLeft w:val="0"/>
      <w:marRight w:val="0"/>
      <w:marTop w:val="0"/>
      <w:marBottom w:val="0"/>
      <w:divBdr>
        <w:top w:val="none" w:sz="0" w:space="0" w:color="auto"/>
        <w:left w:val="none" w:sz="0" w:space="0" w:color="auto"/>
        <w:bottom w:val="none" w:sz="0" w:space="0" w:color="auto"/>
        <w:right w:val="none" w:sz="0" w:space="0" w:color="auto"/>
      </w:divBdr>
      <w:divsChild>
        <w:div w:id="1793556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FE275B6-1C8A-4E83-9FAC-FF070D625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19</Pages>
  <Words>4370</Words>
  <Characters>24915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29227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111</cp:lastModifiedBy>
  <cp:revision>8</cp:revision>
  <dcterms:created xsi:type="dcterms:W3CDTF">2018-04-23T05:29:00Z</dcterms:created>
  <dcterms:modified xsi:type="dcterms:W3CDTF">2018-05-08T17:08:00Z</dcterms:modified>
</cp:coreProperties>
</file>