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footnotes.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rFonts w:eastAsia="Times New Roman"/>
          <w:b/>
          <w:b/>
          <w:bCs/>
          <w:sz w:val="24"/>
          <w:szCs w:val="24"/>
        </w:rPr>
      </w:pPr>
      <w:r>
        <w:rPr>
          <w:rFonts w:eastAsia="Times New Roman"/>
          <w:b/>
          <w:bCs/>
          <w:sz w:val="24"/>
          <w:szCs w:val="24"/>
        </w:rPr>
        <w:t xml:space="preserve">МИНИСТЕРСТВО НАУКИ И ВЫСШЕГО ОБРАЗОВАНИЯ </w:t>
      </w:r>
    </w:p>
    <w:p>
      <w:pPr>
        <w:pStyle w:val="Normal"/>
        <w:spacing w:lineRule="auto" w:line="480"/>
        <w:jc w:val="center"/>
        <w:rPr>
          <w:rFonts w:eastAsia="Times New Roman"/>
          <w:b/>
          <w:b/>
          <w:bCs/>
          <w:sz w:val="24"/>
          <w:szCs w:val="24"/>
        </w:rPr>
      </w:pPr>
      <w:r>
        <w:rPr>
          <w:rFonts w:eastAsia="Times New Roman"/>
          <w:b/>
          <w:bCs/>
          <w:sz w:val="24"/>
          <w:szCs w:val="24"/>
        </w:rPr>
        <w:t xml:space="preserve">РОССИЙСКОЙ ФЕДЕРАЦИИ </w:t>
      </w:r>
    </w:p>
    <w:p>
      <w:pPr>
        <w:pStyle w:val="Normal"/>
        <w:spacing w:lineRule="auto" w:line="360"/>
        <w:jc w:val="center"/>
        <w:rPr>
          <w:rFonts w:eastAsia="Times New Roman"/>
          <w:b/>
          <w:b/>
          <w:smallCaps/>
          <w:sz w:val="24"/>
          <w:szCs w:val="24"/>
        </w:rPr>
      </w:pPr>
      <w:r>
        <w:rPr>
          <w:rFonts w:eastAsia="Times New Roman"/>
          <w:b/>
          <w:smallCaps/>
          <w:sz w:val="24"/>
          <w:szCs w:val="24"/>
        </w:rPr>
        <w:t xml:space="preserve">Федеральное государственное бюджетное образовательное </w:t>
      </w:r>
    </w:p>
    <w:p>
      <w:pPr>
        <w:pStyle w:val="Normal"/>
        <w:spacing w:lineRule="auto" w:line="360"/>
        <w:jc w:val="center"/>
        <w:rPr>
          <w:rFonts w:eastAsia="Times New Roman"/>
          <w:b/>
          <w:b/>
          <w:smallCaps/>
          <w:sz w:val="24"/>
          <w:szCs w:val="24"/>
        </w:rPr>
      </w:pPr>
      <w:r>
        <w:rPr>
          <w:rFonts w:eastAsia="Times New Roman"/>
          <w:b/>
          <w:smallCaps/>
          <w:sz w:val="24"/>
          <w:szCs w:val="24"/>
        </w:rPr>
        <w:t>учреждение высшего образования</w:t>
      </w:r>
    </w:p>
    <w:p>
      <w:pPr>
        <w:pStyle w:val="Normal"/>
        <w:spacing w:lineRule="auto" w:line="480"/>
        <w:jc w:val="center"/>
        <w:rPr>
          <w:rFonts w:eastAsia="Times New Roman"/>
          <w:b/>
          <w:b/>
          <w:smallCaps/>
          <w:sz w:val="24"/>
          <w:szCs w:val="24"/>
        </w:rPr>
      </w:pPr>
      <w:r>
        <w:rPr>
          <w:rFonts w:eastAsia="Times New Roman"/>
          <w:b/>
          <w:smallCaps/>
          <w:sz w:val="24"/>
          <w:szCs w:val="24"/>
        </w:rPr>
        <w:t xml:space="preserve"> </w:t>
      </w:r>
      <w:r>
        <w:rPr>
          <w:rFonts w:eastAsia="Times New Roman"/>
          <w:b/>
          <w:smallCaps/>
          <w:sz w:val="24"/>
          <w:szCs w:val="24"/>
        </w:rPr>
        <w:t xml:space="preserve">«ПЕНЗЕНСКИЙ ГОСУДАРСТВЕННЫЙ УНИВЕРСИТЕТ» </w:t>
      </w:r>
    </w:p>
    <w:p>
      <w:pPr>
        <w:pStyle w:val="Normal"/>
        <w:spacing w:lineRule="auto" w:line="360"/>
        <w:jc w:val="center"/>
        <w:rPr>
          <w:rFonts w:eastAsia="Times New Roman"/>
          <w:b/>
          <w:b/>
          <w:sz w:val="24"/>
          <w:szCs w:val="24"/>
        </w:rPr>
      </w:pPr>
      <w:r>
        <w:rPr>
          <w:rFonts w:eastAsia="Times New Roman"/>
          <w:b/>
          <w:sz w:val="24"/>
          <w:szCs w:val="24"/>
        </w:rPr>
      </w:r>
    </w:p>
    <w:p>
      <w:pPr>
        <w:pStyle w:val="Normal"/>
        <w:spacing w:lineRule="auto" w:line="360"/>
        <w:rPr>
          <w:rFonts w:eastAsia="Times New Roman"/>
          <w:sz w:val="28"/>
          <w:szCs w:val="28"/>
          <w:u w:val="single"/>
        </w:rPr>
      </w:pPr>
      <w:r>
        <w:rPr>
          <w:rFonts w:eastAsia="Times New Roman"/>
          <w:sz w:val="28"/>
          <w:szCs w:val="28"/>
        </w:rPr>
        <w:t xml:space="preserve">               </w:t>
      </w:r>
      <w:r>
        <w:rPr>
          <w:rFonts w:eastAsia="Times New Roman"/>
          <w:sz w:val="28"/>
          <w:szCs w:val="28"/>
        </w:rPr>
        <w:t xml:space="preserve">Институт                                                               Кафедра      </w:t>
      </w:r>
      <w:r>
        <w:rPr>
          <w:rFonts w:eastAsia="Times New Roman"/>
          <w:sz w:val="28"/>
          <w:szCs w:val="28"/>
          <w:u w:val="single"/>
        </w:rPr>
        <w:t xml:space="preserve">          </w:t>
      </w:r>
    </w:p>
    <w:p>
      <w:pPr>
        <w:pStyle w:val="Normal"/>
        <w:spacing w:lineRule="auto" w:line="360"/>
        <w:rPr>
          <w:rFonts w:eastAsia="Times New Roman"/>
          <w:sz w:val="28"/>
          <w:szCs w:val="28"/>
        </w:rPr>
      </w:pPr>
      <w:r>
        <w:rPr>
          <w:rFonts w:eastAsia="Times New Roman"/>
          <w:sz w:val="28"/>
          <w:szCs w:val="28"/>
        </w:rPr>
        <w:t xml:space="preserve">         </w:t>
      </w:r>
      <w:r>
        <w:rPr>
          <w:rFonts w:eastAsia="Times New Roman"/>
          <w:sz w:val="28"/>
          <w:szCs w:val="28"/>
          <w:u w:val="single"/>
        </w:rPr>
        <w:t xml:space="preserve">  </w:t>
      </w:r>
      <w:r>
        <w:rPr>
          <w:rFonts w:eastAsia="Times New Roman"/>
          <w:sz w:val="28"/>
          <w:szCs w:val="28"/>
          <w:u w:val="single"/>
        </w:rPr>
        <w:t xml:space="preserve">Юридический   </w:t>
      </w:r>
      <w:r>
        <w:rPr>
          <w:rFonts w:eastAsia="Times New Roman"/>
          <w:sz w:val="28"/>
          <w:szCs w:val="28"/>
        </w:rPr>
        <w:t xml:space="preserve">                                                  </w:t>
      </w:r>
      <w:r>
        <w:rPr>
          <w:rFonts w:eastAsia="Times New Roman"/>
          <w:sz w:val="28"/>
          <w:szCs w:val="28"/>
          <w:u w:val="single"/>
        </w:rPr>
        <w:t xml:space="preserve"> «Уголовное право»</w:t>
      </w:r>
    </w:p>
    <w:p>
      <w:pPr>
        <w:pStyle w:val="Normal"/>
        <w:spacing w:lineRule="auto" w:line="360"/>
        <w:rPr>
          <w:rFonts w:eastAsia="Times New Roman"/>
          <w:sz w:val="28"/>
          <w:szCs w:val="28"/>
          <w:u w:val="single"/>
        </w:rPr>
      </w:pPr>
      <w:r>
        <w:rPr>
          <w:rFonts w:eastAsia="Times New Roman"/>
          <w:sz w:val="28"/>
          <w:szCs w:val="28"/>
        </w:rPr>
        <w:t xml:space="preserve">Направление подготовки (специальность)                 </w:t>
      </w:r>
      <w:r>
        <w:rPr>
          <w:rFonts w:eastAsia="Times New Roman"/>
          <w:sz w:val="28"/>
          <w:szCs w:val="28"/>
          <w:u w:val="single"/>
        </w:rPr>
        <w:t>40.03.01 Юриспруденция</w:t>
      </w:r>
    </w:p>
    <w:p>
      <w:pPr>
        <w:pStyle w:val="Normal"/>
        <w:spacing w:lineRule="auto" w:line="360"/>
        <w:rPr>
          <w:rFonts w:eastAsia="Times New Roman"/>
          <w:sz w:val="28"/>
          <w:szCs w:val="28"/>
        </w:rPr>
      </w:pPr>
      <w:r>
        <w:rPr>
          <w:rFonts w:eastAsia="Times New Roman"/>
          <w:sz w:val="28"/>
          <w:szCs w:val="28"/>
        </w:rPr>
        <w:t xml:space="preserve">Профиль                                                                  </w:t>
      </w:r>
      <w:r>
        <w:rPr>
          <w:rFonts w:eastAsia="Times New Roman"/>
          <w:sz w:val="28"/>
          <w:szCs w:val="28"/>
          <w:u w:val="single"/>
        </w:rPr>
        <w:t>Правозащитная деятельность</w:t>
      </w:r>
    </w:p>
    <w:p>
      <w:pPr>
        <w:pStyle w:val="Normal"/>
        <w:widowControl w:val="false"/>
        <w:tabs>
          <w:tab w:val="clear" w:pos="720"/>
          <w:tab w:val="left" w:pos="6180" w:leader="none"/>
          <w:tab w:val="left" w:pos="6300" w:leader="none"/>
        </w:tabs>
        <w:spacing w:lineRule="auto" w:line="360"/>
        <w:ind w:firstLine="709"/>
        <w:jc w:val="center"/>
        <w:rPr>
          <w:rFonts w:eastAsia="Times New Roman"/>
          <w:bCs/>
          <w:sz w:val="28"/>
          <w:szCs w:val="28"/>
        </w:rPr>
      </w:pPr>
      <w:r>
        <w:rPr>
          <w:rFonts w:eastAsia="Times New Roman"/>
          <w:bCs/>
          <w:sz w:val="28"/>
          <w:szCs w:val="28"/>
        </w:rPr>
      </w:r>
    </w:p>
    <w:p>
      <w:pPr>
        <w:pStyle w:val="Normal"/>
        <w:widowControl w:val="false"/>
        <w:spacing w:lineRule="auto" w:line="360"/>
        <w:jc w:val="center"/>
        <w:rPr>
          <w:rFonts w:eastAsia="Times New Roman"/>
          <w:b/>
          <w:b/>
          <w:bCs/>
          <w:caps/>
          <w:sz w:val="28"/>
          <w:szCs w:val="28"/>
        </w:rPr>
      </w:pPr>
      <w:r>
        <w:rPr>
          <w:rFonts w:eastAsia="Times New Roman"/>
          <w:b/>
          <w:bCs/>
          <w:caps/>
          <w:sz w:val="28"/>
          <w:szCs w:val="28"/>
        </w:rPr>
        <w:t>БАКАЛАВРСКАЯ  РАБОТА</w:t>
      </w:r>
    </w:p>
    <w:p>
      <w:pPr>
        <w:pStyle w:val="Normal"/>
        <w:widowControl w:val="false"/>
        <w:spacing w:lineRule="auto" w:line="360"/>
        <w:jc w:val="center"/>
        <w:rPr>
          <w:rFonts w:eastAsia="Times New Roman"/>
          <w:sz w:val="28"/>
          <w:szCs w:val="28"/>
        </w:rPr>
      </w:pPr>
      <w:r>
        <w:rPr>
          <w:rFonts w:eastAsia="Times New Roman"/>
          <w:b/>
          <w:sz w:val="28"/>
          <w:szCs w:val="28"/>
        </w:rPr>
        <w:t xml:space="preserve">на тему   </w:t>
      </w:r>
      <w:r>
        <w:rPr>
          <w:rFonts w:eastAsia="Times New Roman"/>
          <w:sz w:val="28"/>
          <w:szCs w:val="28"/>
          <w:u w:val="single"/>
        </w:rPr>
        <w:t>Ответственность за причинение тяжкого вреда здоровью. Виды этого преступления</w:t>
      </w:r>
    </w:p>
    <w:p>
      <w:pPr>
        <w:pStyle w:val="Normal"/>
        <w:widowControl w:val="false"/>
        <w:tabs>
          <w:tab w:val="clear" w:pos="720"/>
          <w:tab w:val="left" w:pos="0" w:leader="none"/>
          <w:tab w:val="left" w:pos="2835" w:leader="none"/>
          <w:tab w:val="left" w:pos="7174" w:leader="none"/>
        </w:tabs>
        <w:rPr>
          <w:rFonts w:eastAsia="Times New Roman"/>
          <w:sz w:val="18"/>
          <w:szCs w:val="18"/>
        </w:rPr>
      </w:pPr>
      <w:r>
        <w:rPr>
          <w:rFonts w:eastAsia="Times New Roman"/>
          <w:b/>
          <w:bCs/>
          <w:sz w:val="28"/>
          <w:szCs w:val="28"/>
        </w:rPr>
        <w:t>Студент (ка)</w:t>
      </w:r>
      <w:r>
        <w:rPr>
          <w:rFonts w:eastAsia="Times New Roman"/>
          <w:bCs/>
          <w:sz w:val="28"/>
          <w:szCs w:val="28"/>
        </w:rPr>
        <w:t xml:space="preserve"> </w:t>
      </w:r>
      <w:r>
        <w:rPr>
          <w:rFonts w:eastAsia="Times New Roman"/>
          <w:sz w:val="28"/>
          <w:szCs w:val="28"/>
          <w:u w:val="single"/>
        </w:rPr>
        <w:t>17ЮДО 4</w:t>
      </w:r>
      <w:r>
        <w:rPr>
          <w:rFonts w:eastAsia="Times New Roman"/>
          <w:sz w:val="28"/>
          <w:szCs w:val="28"/>
        </w:rPr>
        <w:t xml:space="preserve">     _________                  </w:t>
      </w:r>
      <w:r>
        <w:rPr>
          <w:rFonts w:eastAsia="Times New Roman"/>
          <w:color w:val="FF0000"/>
          <w:sz w:val="28"/>
          <w:szCs w:val="28"/>
          <w:u w:val="single"/>
        </w:rPr>
        <w:t>Мишин Михаил Отчество</w:t>
      </w:r>
      <w:r>
        <w:rPr>
          <w:rFonts w:eastAsia="Times New Roman"/>
          <w:color w:val="FF0000"/>
          <w:sz w:val="18"/>
          <w:szCs w:val="18"/>
          <w:u w:val="single"/>
        </w:rPr>
        <w:t xml:space="preserve">     </w:t>
      </w:r>
      <w:r>
        <w:rPr>
          <w:rFonts w:eastAsia="Times New Roman"/>
          <w:color w:val="FF0000"/>
          <w:sz w:val="18"/>
          <w:szCs w:val="18"/>
        </w:rPr>
        <w:t xml:space="preserve"> </w:t>
      </w:r>
    </w:p>
    <w:p>
      <w:pPr>
        <w:pStyle w:val="Normal"/>
        <w:widowControl w:val="false"/>
        <w:tabs>
          <w:tab w:val="clear" w:pos="720"/>
          <w:tab w:val="left" w:pos="0" w:leader="none"/>
          <w:tab w:val="left" w:pos="2835" w:leader="none"/>
          <w:tab w:val="left" w:pos="7174" w:leader="none"/>
        </w:tabs>
        <w:rPr>
          <w:rFonts w:eastAsia="Times New Roman"/>
          <w:sz w:val="18"/>
          <w:szCs w:val="18"/>
        </w:rPr>
      </w:pPr>
      <w:r>
        <w:rPr>
          <w:rFonts w:eastAsia="Times New Roman"/>
          <w:sz w:val="18"/>
          <w:szCs w:val="18"/>
        </w:rPr>
        <w:t xml:space="preserve">                                      </w:t>
      </w:r>
      <w:r>
        <w:rPr>
          <w:rFonts w:eastAsia="Times New Roman"/>
          <w:sz w:val="18"/>
          <w:szCs w:val="18"/>
        </w:rPr>
        <w:t>номер группы            подпись, дата                              фамилия, имя, отчество полностью</w:t>
      </w:r>
    </w:p>
    <w:p>
      <w:pPr>
        <w:pStyle w:val="Normal"/>
        <w:widowControl w:val="false"/>
        <w:rPr>
          <w:rFonts w:eastAsia="Times New Roman"/>
          <w:sz w:val="28"/>
          <w:szCs w:val="28"/>
          <w:u w:val="single"/>
        </w:rPr>
      </w:pPr>
      <w:r>
        <w:rPr>
          <w:rFonts w:eastAsia="Times New Roman"/>
          <w:b/>
          <w:sz w:val="28"/>
          <w:szCs w:val="28"/>
        </w:rPr>
        <w:t xml:space="preserve">Научный руководитель </w:t>
      </w:r>
      <w:r>
        <w:rPr>
          <w:rFonts w:eastAsia="Times New Roman"/>
          <w:sz w:val="28"/>
          <w:szCs w:val="28"/>
          <w:u w:val="single"/>
        </w:rPr>
        <w:t xml:space="preserve">к.ю.н., доцент </w:t>
      </w:r>
    </w:p>
    <w:p>
      <w:pPr>
        <w:pStyle w:val="Normal"/>
        <w:widowControl w:val="false"/>
        <w:rPr>
          <w:rFonts w:eastAsia="Times New Roman"/>
          <w:sz w:val="20"/>
          <w:szCs w:val="20"/>
          <w:vertAlign w:val="superscript"/>
        </w:rPr>
      </w:pPr>
      <w:r>
        <w:rPr>
          <w:rFonts w:eastAsia="Times New Roman"/>
          <w:sz w:val="20"/>
          <w:szCs w:val="20"/>
        </w:rPr>
        <w:t xml:space="preserve">                                                                      </w:t>
      </w:r>
      <w:r>
        <w:rPr>
          <w:rFonts w:eastAsia="Times New Roman"/>
          <w:sz w:val="20"/>
          <w:szCs w:val="20"/>
        </w:rPr>
        <w:t xml:space="preserve">должность  </w:t>
      </w:r>
    </w:p>
    <w:p>
      <w:pPr>
        <w:pStyle w:val="Normal"/>
        <w:widowControl w:val="false"/>
        <w:rPr>
          <w:rFonts w:eastAsia="Times New Roman"/>
          <w:sz w:val="28"/>
          <w:szCs w:val="28"/>
          <w:u w:val="single"/>
        </w:rPr>
      </w:pPr>
      <w:r>
        <w:rPr>
          <w:rFonts w:eastAsia="Times New Roman"/>
          <w:sz w:val="20"/>
          <w:szCs w:val="20"/>
          <w:u w:val="single"/>
        </w:rPr>
        <w:t xml:space="preserve">                          </w:t>
      </w:r>
      <w:r>
        <w:rPr>
          <w:rFonts w:eastAsia="Times New Roman"/>
          <w:sz w:val="28"/>
          <w:szCs w:val="28"/>
          <w:u w:val="single"/>
        </w:rPr>
        <w:t xml:space="preserve">ПГУ              </w:t>
      </w:r>
      <w:r>
        <w:rPr>
          <w:rFonts w:eastAsia="Times New Roman"/>
          <w:sz w:val="28"/>
          <w:szCs w:val="28"/>
        </w:rPr>
        <w:t xml:space="preserve">              ___________________            </w:t>
      </w:r>
      <w:r>
        <w:rPr>
          <w:rFonts w:eastAsia="Times New Roman"/>
          <w:sz w:val="28"/>
          <w:szCs w:val="28"/>
          <w:u w:val="single"/>
        </w:rPr>
        <w:t xml:space="preserve"> Рыжова О.А.</w:t>
      </w:r>
    </w:p>
    <w:p>
      <w:pPr>
        <w:pStyle w:val="Normal"/>
        <w:widowControl w:val="false"/>
        <w:rPr>
          <w:rFonts w:eastAsia="Times New Roman"/>
          <w:sz w:val="20"/>
          <w:szCs w:val="20"/>
          <w:vertAlign w:val="superscript"/>
        </w:rPr>
      </w:pPr>
      <w:r>
        <w:rPr>
          <w:rFonts w:eastAsia="Times New Roman"/>
          <w:sz w:val="20"/>
          <w:szCs w:val="20"/>
        </w:rPr>
        <w:t xml:space="preserve">      </w:t>
      </w:r>
      <w:r>
        <w:rPr>
          <w:rFonts w:eastAsia="Times New Roman"/>
          <w:sz w:val="20"/>
          <w:szCs w:val="20"/>
        </w:rPr>
        <w:t>наименование организации                                    подпись, дата                                   фамилия, инициалы</w:t>
      </w:r>
    </w:p>
    <w:p>
      <w:pPr>
        <w:pStyle w:val="Normal"/>
        <w:widowControl w:val="false"/>
        <w:spacing w:lineRule="auto" w:line="360"/>
        <w:ind w:firstLine="22"/>
        <w:rPr>
          <w:rFonts w:eastAsia="Times New Roman"/>
          <w:sz w:val="28"/>
          <w:szCs w:val="28"/>
        </w:rPr>
      </w:pPr>
      <w:r>
        <w:rPr>
          <w:rFonts w:eastAsia="Times New Roman"/>
          <w:sz w:val="28"/>
          <w:szCs w:val="28"/>
        </w:rPr>
        <w:t>Консультанты:</w:t>
      </w:r>
    </w:p>
    <w:p>
      <w:pPr>
        <w:pStyle w:val="Normal"/>
        <w:widowControl w:val="false"/>
        <w:rPr>
          <w:rFonts w:eastAsia="Times New Roman"/>
          <w:sz w:val="18"/>
          <w:szCs w:val="18"/>
        </w:rPr>
      </w:pPr>
      <w:r>
        <w:rPr>
          <w:rFonts w:eastAsia="Times New Roman"/>
          <w:sz w:val="28"/>
          <w:szCs w:val="28"/>
        </w:rPr>
        <w:t xml:space="preserve">по </w:t>
      </w:r>
      <w:r>
        <w:rPr>
          <w:rFonts w:eastAsia="Times New Roman"/>
          <w:sz w:val="18"/>
          <w:szCs w:val="18"/>
        </w:rPr>
        <w:t>______________________________________________     ______________________            _______________________</w:t>
      </w:r>
    </w:p>
    <w:p>
      <w:pPr>
        <w:pStyle w:val="Normal"/>
        <w:widowControl w:val="false"/>
        <w:rPr>
          <w:rFonts w:eastAsia="Times New Roman"/>
          <w:sz w:val="18"/>
          <w:szCs w:val="18"/>
        </w:rPr>
      </w:pPr>
      <w:r>
        <w:rPr>
          <w:rFonts w:eastAsia="Times New Roman"/>
          <w:sz w:val="18"/>
          <w:szCs w:val="18"/>
        </w:rPr>
        <w:t xml:space="preserve">            </w:t>
      </w:r>
      <w:r>
        <w:rPr>
          <w:rFonts w:eastAsia="Times New Roman"/>
          <w:sz w:val="18"/>
          <w:szCs w:val="18"/>
        </w:rPr>
        <w:t xml:space="preserve">наименование раздела, звание, должность                        подпись, дата                               </w:t>
      </w:r>
      <w:r>
        <w:rPr>
          <w:rFonts w:eastAsia="Times New Roman"/>
          <w:sz w:val="20"/>
          <w:szCs w:val="20"/>
        </w:rPr>
        <w:t>фамилия, инициалы</w:t>
      </w:r>
    </w:p>
    <w:p>
      <w:pPr>
        <w:pStyle w:val="Normal"/>
        <w:widowControl w:val="false"/>
        <w:rPr>
          <w:rFonts w:eastAsia="Times New Roman"/>
          <w:sz w:val="18"/>
          <w:szCs w:val="18"/>
        </w:rPr>
      </w:pPr>
      <w:r>
        <w:rPr>
          <w:rFonts w:eastAsia="Times New Roman"/>
          <w:sz w:val="28"/>
          <w:szCs w:val="28"/>
        </w:rPr>
        <w:t xml:space="preserve">по </w:t>
      </w:r>
      <w:r>
        <w:rPr>
          <w:rFonts w:eastAsia="Times New Roman"/>
          <w:sz w:val="18"/>
          <w:szCs w:val="18"/>
        </w:rPr>
        <w:t>______________________________________________     ______________________            _______________________</w:t>
      </w:r>
    </w:p>
    <w:p>
      <w:pPr>
        <w:pStyle w:val="Normal"/>
        <w:widowControl w:val="false"/>
        <w:rPr>
          <w:rFonts w:eastAsia="Times New Roman"/>
          <w:sz w:val="18"/>
          <w:szCs w:val="18"/>
        </w:rPr>
      </w:pPr>
      <w:r>
        <w:rPr>
          <w:rFonts w:eastAsia="Times New Roman"/>
          <w:sz w:val="18"/>
          <w:szCs w:val="18"/>
        </w:rPr>
        <w:t xml:space="preserve">            </w:t>
      </w:r>
      <w:r>
        <w:rPr>
          <w:rFonts w:eastAsia="Times New Roman"/>
          <w:sz w:val="18"/>
          <w:szCs w:val="18"/>
        </w:rPr>
        <w:t xml:space="preserve">наименование раздела, звание, должность                        подпись, дата                               </w:t>
      </w:r>
      <w:r>
        <w:rPr>
          <w:rFonts w:eastAsia="Times New Roman"/>
          <w:sz w:val="20"/>
          <w:szCs w:val="20"/>
        </w:rPr>
        <w:t xml:space="preserve">фамилия, </w:t>
      </w:r>
      <w:r>
        <w:rPr>
          <w:rFonts w:eastAsia="Times New Roman"/>
          <w:sz w:val="20"/>
          <w:szCs w:val="20"/>
          <w:vertAlign w:val="superscript"/>
        </w:rPr>
        <w:t>,</w:t>
      </w:r>
      <w:r>
        <w:rPr>
          <w:rFonts w:eastAsia="Times New Roman"/>
          <w:sz w:val="20"/>
          <w:szCs w:val="20"/>
        </w:rPr>
        <w:t>инициалы</w:t>
      </w:r>
    </w:p>
    <w:p>
      <w:pPr>
        <w:pStyle w:val="Normal"/>
        <w:widowControl w:val="false"/>
        <w:rPr>
          <w:rFonts w:eastAsia="Times New Roman"/>
          <w:sz w:val="18"/>
          <w:szCs w:val="18"/>
        </w:rPr>
      </w:pPr>
      <w:r>
        <w:rPr>
          <w:rFonts w:eastAsia="Times New Roman"/>
          <w:sz w:val="28"/>
          <w:szCs w:val="28"/>
        </w:rPr>
        <w:t xml:space="preserve">по </w:t>
      </w:r>
      <w:r>
        <w:rPr>
          <w:rFonts w:eastAsia="Times New Roman"/>
          <w:sz w:val="18"/>
          <w:szCs w:val="18"/>
        </w:rPr>
        <w:t>______________________________________________     ______________________            _______________________</w:t>
      </w:r>
    </w:p>
    <w:p>
      <w:pPr>
        <w:pStyle w:val="Normal"/>
        <w:widowControl w:val="false"/>
        <w:rPr>
          <w:rFonts w:eastAsia="Times New Roman"/>
          <w:sz w:val="18"/>
          <w:szCs w:val="18"/>
        </w:rPr>
      </w:pPr>
      <w:r>
        <w:rPr>
          <w:rFonts w:eastAsia="Times New Roman"/>
          <w:sz w:val="18"/>
          <w:szCs w:val="18"/>
        </w:rPr>
        <w:t xml:space="preserve">            </w:t>
      </w:r>
      <w:r>
        <w:rPr>
          <w:rFonts w:eastAsia="Times New Roman"/>
          <w:sz w:val="18"/>
          <w:szCs w:val="18"/>
        </w:rPr>
        <w:t xml:space="preserve">наименование раздела, звание, должность                        подпись, дата                               </w:t>
      </w:r>
      <w:r>
        <w:rPr>
          <w:rFonts w:eastAsia="Times New Roman"/>
          <w:sz w:val="20"/>
          <w:szCs w:val="20"/>
        </w:rPr>
        <w:t>фамилия, инициалы</w:t>
      </w:r>
    </w:p>
    <w:p>
      <w:pPr>
        <w:pStyle w:val="Normal"/>
        <w:widowControl w:val="false"/>
        <w:spacing w:lineRule="auto" w:line="360"/>
        <w:rPr>
          <w:rFonts w:eastAsia="Times New Roman"/>
          <w:sz w:val="28"/>
          <w:szCs w:val="28"/>
        </w:rPr>
      </w:pPr>
      <w:r>
        <w:rPr>
          <w:rFonts w:eastAsia="Times New Roman"/>
          <w:sz w:val="28"/>
          <w:szCs w:val="28"/>
        </w:rPr>
      </w:r>
    </w:p>
    <w:p>
      <w:pPr>
        <w:pStyle w:val="Normal"/>
        <w:widowControl w:val="false"/>
        <w:rPr>
          <w:rFonts w:eastAsia="Times New Roman"/>
          <w:sz w:val="28"/>
          <w:szCs w:val="28"/>
        </w:rPr>
      </w:pPr>
      <w:r>
        <w:rPr>
          <w:rFonts w:eastAsia="Times New Roman"/>
          <w:b/>
          <w:sz w:val="28"/>
          <w:szCs w:val="28"/>
        </w:rPr>
        <w:t>Нормоконтролер</w:t>
      </w:r>
      <w:r>
        <w:rPr>
          <w:rFonts w:eastAsia="Times New Roman"/>
          <w:sz w:val="28"/>
          <w:szCs w:val="28"/>
        </w:rPr>
        <w:t>:</w:t>
      </w:r>
      <w:r>
        <w:rPr>
          <w:rFonts w:eastAsia="Times New Roman"/>
          <w:sz w:val="18"/>
          <w:szCs w:val="18"/>
        </w:rPr>
        <w:t xml:space="preserve">  </w:t>
      </w:r>
      <w:r>
        <w:rPr>
          <w:rFonts w:eastAsia="Times New Roman"/>
          <w:sz w:val="18"/>
          <w:szCs w:val="18"/>
          <w:u w:val="single"/>
        </w:rPr>
        <w:t xml:space="preserve">    </w:t>
      </w:r>
      <w:r>
        <w:rPr>
          <w:rFonts w:eastAsia="Times New Roman"/>
          <w:sz w:val="28"/>
          <w:szCs w:val="28"/>
          <w:u w:val="single"/>
        </w:rPr>
        <w:t xml:space="preserve">к.ю.н., доцент    </w:t>
      </w:r>
      <w:r>
        <w:rPr>
          <w:rFonts w:eastAsia="Times New Roman"/>
          <w:sz w:val="28"/>
          <w:szCs w:val="28"/>
        </w:rPr>
        <w:t xml:space="preserve">     ______________      </w:t>
      </w:r>
      <w:r>
        <w:rPr>
          <w:rFonts w:eastAsia="Times New Roman"/>
          <w:sz w:val="28"/>
          <w:szCs w:val="28"/>
          <w:u w:val="single"/>
        </w:rPr>
        <w:t xml:space="preserve">Безрукова О.В.        </w:t>
      </w:r>
    </w:p>
    <w:p>
      <w:pPr>
        <w:pStyle w:val="Normal"/>
        <w:widowControl w:val="false"/>
        <w:rPr>
          <w:rFonts w:eastAsia="Times New Roman"/>
          <w:sz w:val="18"/>
          <w:szCs w:val="18"/>
        </w:rPr>
      </w:pPr>
      <w:r>
        <w:rPr>
          <w:rFonts w:eastAsia="Times New Roman"/>
          <w:sz w:val="18"/>
          <w:szCs w:val="18"/>
        </w:rPr>
        <w:t xml:space="preserve">                                                        </w:t>
      </w:r>
      <w:r>
        <w:rPr>
          <w:rFonts w:eastAsia="Times New Roman"/>
          <w:sz w:val="18"/>
          <w:szCs w:val="18"/>
        </w:rPr>
        <w:t xml:space="preserve">должность                                           подпись, дата                    </w:t>
      </w:r>
      <w:r>
        <w:rPr>
          <w:rFonts w:eastAsia="Times New Roman"/>
          <w:sz w:val="20"/>
          <w:szCs w:val="20"/>
        </w:rPr>
        <w:t>фамилия, инициалы</w:t>
      </w:r>
    </w:p>
    <w:p>
      <w:pPr>
        <w:pStyle w:val="Normal"/>
        <w:widowControl w:val="false"/>
        <w:jc w:val="both"/>
        <w:rPr>
          <w:rFonts w:eastAsia="Times New Roman"/>
          <w:i/>
          <w:i/>
          <w:sz w:val="28"/>
          <w:szCs w:val="28"/>
        </w:rPr>
      </w:pPr>
      <w:r>
        <w:rPr>
          <w:rFonts w:eastAsia="Times New Roman"/>
          <w:i/>
          <w:sz w:val="28"/>
          <w:szCs w:val="28"/>
        </w:rPr>
        <mc:AlternateContent>
          <mc:Choice Requires="wps">
            <w:drawing>
              <wp:anchor behindDoc="0" distT="0" distB="0" distL="114300" distR="113665" simplePos="0" locked="0" layoutInCell="1" allowOverlap="1" relativeHeight="2" wp14:anchorId="1A860B36">
                <wp:simplePos x="0" y="0"/>
                <wp:positionH relativeFrom="column">
                  <wp:posOffset>47625</wp:posOffset>
                </wp:positionH>
                <wp:positionV relativeFrom="paragraph">
                  <wp:posOffset>86995</wp:posOffset>
                </wp:positionV>
                <wp:extent cx="5965190" cy="17145"/>
                <wp:effectExtent l="10160" t="12065" r="6985" b="9525"/>
                <wp:wrapNone/>
                <wp:docPr id="1" name="Прямая со стрелкой 2"/>
                <a:graphic xmlns:a="http://schemas.openxmlformats.org/drawingml/2006/main">
                  <a:graphicData uri="http://schemas.microsoft.com/office/word/2010/wordprocessingShape">
                    <wps:wsp>
                      <wps:cNvSpPr/>
                      <wps:spPr>
                        <a:xfrm flipV="1">
                          <a:off x="0" y="0"/>
                          <a:ext cx="5964480" cy="16560"/>
                        </a:xfrm>
                        <a:custGeom>
                          <a:avLst/>
                          <a:gdLst/>
                          <a:ahLst/>
                          <a:rect l="l" t="t" r="r" b="b"/>
                          <a:pathLst>
                            <a:path w="21600" h="21600">
                              <a:moveTo>
                                <a:pt x="0" y="0"/>
                              </a:moveTo>
                              <a:lnTo>
                                <a:pt x="21600" y="21600"/>
                              </a:lnTo>
                            </a:path>
                          </a:pathLst>
                        </a:custGeom>
                        <a:noFill/>
                        <a:ln w="12600">
                          <a:solidFill>
                            <a:srgbClr val="000000"/>
                          </a:solidFill>
                          <a:roun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Прямая со стрелкой 2" stroked="t" style="position:absolute;margin-left:3.75pt;margin-top:6.85pt;width:469.6pt;height:1.25pt;flip:y" wp14:anchorId="1A860B36" type="shapetype_32">
                <w10:wrap type="none"/>
                <v:fill o:detectmouseclick="t" on="false"/>
                <v:stroke color="black" weight="12600" joinstyle="round" endcap="flat"/>
              </v:shape>
            </w:pict>
          </mc:Fallback>
        </mc:AlternateContent>
      </w:r>
    </w:p>
    <w:p>
      <w:pPr>
        <w:pStyle w:val="Normal"/>
        <w:spacing w:before="0" w:after="80"/>
        <w:jc w:val="both"/>
        <w:rPr>
          <w:rFonts w:eastAsia="Times New Roman"/>
          <w:spacing w:val="-6"/>
          <w:sz w:val="24"/>
          <w:szCs w:val="24"/>
        </w:rPr>
      </w:pPr>
      <w:r>
        <w:rPr>
          <w:rFonts w:eastAsia="Times New Roman"/>
          <w:i/>
          <w:spacing w:val="-6"/>
          <w:sz w:val="24"/>
          <w:szCs w:val="24"/>
        </w:rPr>
        <w:t>Работа допущена к защите</w:t>
      </w:r>
      <w:r>
        <w:rPr>
          <w:rFonts w:eastAsia="Times New Roman"/>
          <w:spacing w:val="-6"/>
          <w:sz w:val="28"/>
          <w:szCs w:val="24"/>
        </w:rPr>
        <w:t xml:space="preserve"> </w:t>
      </w:r>
      <w:r>
        <w:rPr>
          <w:rFonts w:eastAsia="Times New Roman"/>
          <w:spacing w:val="-6"/>
          <w:sz w:val="24"/>
          <w:szCs w:val="24"/>
        </w:rPr>
        <w:t xml:space="preserve">     (протокол заседания кафедры от _______________  №_______)</w:t>
      </w:r>
    </w:p>
    <w:p>
      <w:pPr>
        <w:pStyle w:val="Normal"/>
        <w:spacing w:before="120" w:after="0"/>
        <w:jc w:val="both"/>
        <w:rPr>
          <w:rFonts w:eastAsia="Times New Roman"/>
          <w:sz w:val="28"/>
          <w:szCs w:val="24"/>
        </w:rPr>
      </w:pPr>
      <w:r>
        <w:rPr>
          <w:rFonts w:eastAsia="Times New Roman"/>
          <w:b/>
          <w:sz w:val="28"/>
          <w:szCs w:val="24"/>
        </w:rPr>
        <w:t xml:space="preserve">Заведующий кафедрой   </w:t>
      </w:r>
      <w:r>
        <w:rPr>
          <w:rFonts w:eastAsia="Times New Roman"/>
          <w:sz w:val="28"/>
          <w:szCs w:val="24"/>
        </w:rPr>
        <w:t xml:space="preserve">                  __________</w:t>
        <w:tab/>
        <w:t xml:space="preserve">        </w:t>
      </w:r>
      <w:r>
        <w:rPr>
          <w:rFonts w:eastAsia="Times New Roman"/>
          <w:sz w:val="28"/>
          <w:szCs w:val="24"/>
          <w:u w:val="single"/>
        </w:rPr>
        <w:t xml:space="preserve"> Романовский Г.Б.</w:t>
      </w:r>
    </w:p>
    <w:p>
      <w:pPr>
        <w:pStyle w:val="Normal"/>
        <w:ind w:firstLine="1440"/>
        <w:jc w:val="both"/>
        <w:rPr>
          <w:rFonts w:eastAsia="Times New Roman"/>
          <w:sz w:val="28"/>
          <w:szCs w:val="24"/>
          <w:vertAlign w:val="superscript"/>
        </w:rPr>
      </w:pPr>
      <w:r>
        <w:rPr>
          <w:rFonts w:eastAsia="Times New Roman"/>
          <w:sz w:val="28"/>
          <w:szCs w:val="24"/>
          <w:vertAlign w:val="superscript"/>
        </w:rPr>
        <w:t xml:space="preserve">                              </w:t>
      </w:r>
      <w:r>
        <w:rPr>
          <w:rFonts w:eastAsia="Times New Roman"/>
          <w:sz w:val="20"/>
          <w:szCs w:val="20"/>
          <w:vertAlign w:val="superscript"/>
        </w:rPr>
        <w:t xml:space="preserve">       </w:t>
      </w:r>
      <w:r>
        <w:rPr>
          <w:rFonts w:eastAsia="Times New Roman"/>
          <w:sz w:val="28"/>
          <w:szCs w:val="24"/>
          <w:vertAlign w:val="superscript"/>
        </w:rPr>
        <w:t xml:space="preserve">                                         </w:t>
      </w:r>
      <w:r>
        <w:rPr>
          <w:rFonts w:eastAsia="Times New Roman"/>
          <w:sz w:val="28"/>
          <w:szCs w:val="24"/>
          <w:vertAlign w:val="superscript"/>
        </w:rPr>
        <w:t>(подпись)                                    (фамилия, инициалы)</w:t>
      </w:r>
    </w:p>
    <w:p>
      <w:pPr>
        <w:pStyle w:val="Normal"/>
        <w:jc w:val="both"/>
        <w:rPr>
          <w:rFonts w:eastAsia="Times New Roman"/>
          <w:sz w:val="16"/>
          <w:szCs w:val="24"/>
        </w:rPr>
      </w:pPr>
      <w:r>
        <w:rPr>
          <w:rFonts w:eastAsia="Times New Roman"/>
          <w:i/>
          <w:sz w:val="24"/>
          <w:szCs w:val="24"/>
        </w:rPr>
        <w:t>Работа защищена с отметкой</w:t>
      </w:r>
      <w:r>
        <w:rPr>
          <w:rFonts w:eastAsia="Times New Roman"/>
          <w:sz w:val="28"/>
          <w:szCs w:val="24"/>
        </w:rPr>
        <w:t xml:space="preserve"> __________ </w:t>
      </w:r>
      <w:r>
        <w:rPr>
          <w:rFonts w:eastAsia="Times New Roman"/>
          <w:sz w:val="24"/>
          <w:szCs w:val="24"/>
        </w:rPr>
        <w:t>(протокол заседания ГЭК от _______2021  г. №___ ).</w:t>
      </w:r>
    </w:p>
    <w:p>
      <w:pPr>
        <w:pStyle w:val="Normal"/>
        <w:rPr>
          <w:rFonts w:eastAsia="Times New Roman"/>
          <w:sz w:val="28"/>
          <w:szCs w:val="24"/>
        </w:rPr>
      </w:pPr>
      <w:r>
        <w:rPr>
          <w:rFonts w:eastAsia="Times New Roman"/>
          <w:sz w:val="28"/>
          <w:szCs w:val="24"/>
        </w:rPr>
        <w:t xml:space="preserve"> </w:t>
      </w:r>
      <w:r>
        <w:rPr>
          <w:rFonts w:eastAsia="Times New Roman"/>
          <w:b/>
          <w:sz w:val="28"/>
          <w:szCs w:val="24"/>
        </w:rPr>
        <w:t>Секретарь ГЭК</w:t>
      </w:r>
      <w:r>
        <w:rPr>
          <w:rFonts w:eastAsia="Times New Roman"/>
          <w:sz w:val="28"/>
          <w:szCs w:val="24"/>
        </w:rPr>
        <w:t xml:space="preserve"> </w:t>
        <w:tab/>
        <w:t xml:space="preserve">            </w:t>
        <w:tab/>
        <w:t>_________</w:t>
        <w:tab/>
        <w:tab/>
        <w:t xml:space="preserve">                     </w:t>
      </w:r>
      <w:r>
        <w:rPr>
          <w:rFonts w:eastAsia="Times New Roman"/>
          <w:sz w:val="28"/>
          <w:szCs w:val="28"/>
          <w:u w:val="single"/>
        </w:rPr>
        <w:t>Вдовина Т.Е.</w:t>
      </w:r>
      <w:r>
        <w:rPr>
          <w:rFonts w:eastAsia="Times New Roman"/>
          <w:sz w:val="24"/>
          <w:szCs w:val="24"/>
          <w:u w:val="single"/>
        </w:rPr>
        <w:t xml:space="preserve"> </w:t>
      </w:r>
    </w:p>
    <w:p>
      <w:pPr>
        <w:pStyle w:val="Normal"/>
        <w:rPr>
          <w:rFonts w:eastAsia="Times New Roman"/>
          <w:sz w:val="18"/>
          <w:szCs w:val="24"/>
        </w:rPr>
      </w:pPr>
      <w:r>
        <w:rPr>
          <w:rFonts w:eastAsia="Times New Roman"/>
          <w:sz w:val="28"/>
          <w:szCs w:val="24"/>
          <w:vertAlign w:val="superscript"/>
        </w:rPr>
        <w:t xml:space="preserve">                                                                                      </w:t>
      </w:r>
      <w:r>
        <w:rPr>
          <w:rFonts w:eastAsia="Times New Roman"/>
          <w:sz w:val="28"/>
          <w:szCs w:val="24"/>
          <w:vertAlign w:val="superscript"/>
        </w:rPr>
        <w:t xml:space="preserve">(подпись)                                                         </w:t>
      </w:r>
      <w:r>
        <w:rPr>
          <w:rFonts w:eastAsia="Times New Roman"/>
          <w:sz w:val="18"/>
          <w:szCs w:val="24"/>
        </w:rPr>
        <w:t>(фамилия,</w:t>
      </w:r>
      <w:r>
        <w:rPr>
          <w:rFonts w:eastAsia="Times New Roman"/>
          <w:sz w:val="28"/>
          <w:szCs w:val="24"/>
          <w:vertAlign w:val="superscript"/>
        </w:rPr>
        <w:t xml:space="preserve"> </w:t>
      </w:r>
      <w:r>
        <w:rPr>
          <w:rFonts w:eastAsia="Times New Roman"/>
          <w:sz w:val="18"/>
          <w:szCs w:val="24"/>
        </w:rPr>
        <w:t>инициалы)</w:t>
      </w:r>
    </w:p>
    <w:p>
      <w:pPr>
        <w:pStyle w:val="Normal"/>
        <w:widowControl w:val="false"/>
        <w:spacing w:lineRule="auto" w:line="360"/>
        <w:jc w:val="center"/>
        <w:rPr>
          <w:rFonts w:ascii="Calibri" w:hAnsi="Calibri" w:eastAsia="Calibri"/>
          <w:lang w:eastAsia="en-US"/>
        </w:rPr>
      </w:pPr>
      <w:r>
        <w:rPr>
          <w:rFonts w:eastAsia="Times New Roman"/>
          <w:sz w:val="28"/>
          <w:szCs w:val="28"/>
        </w:rPr>
        <w:t xml:space="preserve">Пенза 2021 </w:t>
      </w:r>
    </w:p>
    <w:p>
      <w:pPr>
        <w:pStyle w:val="Normal"/>
        <w:widowControl w:val="false"/>
        <w:spacing w:lineRule="auto" w:line="360"/>
        <w:jc w:val="center"/>
        <w:rPr>
          <w:rFonts w:eastAsia="Times New Roman"/>
          <w:b/>
          <w:b/>
          <w:iCs/>
          <w:sz w:val="28"/>
          <w:szCs w:val="28"/>
        </w:rPr>
      </w:pPr>
      <w:r>
        <w:rPr>
          <w:rFonts w:eastAsia="Times New Roman"/>
          <w:b/>
          <w:iCs/>
          <w:sz w:val="28"/>
          <w:szCs w:val="28"/>
        </w:rPr>
        <w:t>ПЕНЗЕНСКИЙ ГОСУДАРСТВЕННЫЙ УНИВЕРСИТЕТ</w:t>
      </w:r>
    </w:p>
    <w:p>
      <w:pPr>
        <w:pStyle w:val="Normal"/>
        <w:widowControl w:val="false"/>
        <w:spacing w:lineRule="auto" w:line="360"/>
        <w:jc w:val="center"/>
        <w:rPr>
          <w:rFonts w:eastAsia="Times New Roman"/>
          <w:b/>
          <w:b/>
          <w:iCs/>
          <w:sz w:val="28"/>
          <w:szCs w:val="28"/>
        </w:rPr>
      </w:pPr>
      <w:r>
        <w:rPr>
          <w:rFonts w:eastAsia="Times New Roman"/>
          <w:b/>
          <w:iCs/>
          <w:sz w:val="28"/>
          <w:szCs w:val="28"/>
        </w:rPr>
        <w:t>Юридический институт</w:t>
      </w:r>
    </w:p>
    <w:p>
      <w:pPr>
        <w:pStyle w:val="Normal"/>
        <w:widowControl w:val="false"/>
        <w:spacing w:lineRule="auto" w:line="360"/>
        <w:jc w:val="center"/>
        <w:rPr>
          <w:rFonts w:eastAsia="Times New Roman"/>
          <w:iCs/>
          <w:sz w:val="28"/>
          <w:szCs w:val="28"/>
        </w:rPr>
      </w:pPr>
      <w:r>
        <w:rPr>
          <w:rFonts w:eastAsia="Times New Roman"/>
          <w:iCs/>
          <w:sz w:val="28"/>
          <w:szCs w:val="28"/>
        </w:rPr>
        <w:t>Направление «Юриспруденция»</w:t>
      </w:r>
    </w:p>
    <w:p>
      <w:pPr>
        <w:pStyle w:val="Normal"/>
        <w:widowControl w:val="false"/>
        <w:spacing w:lineRule="auto" w:line="360"/>
        <w:jc w:val="right"/>
        <w:rPr>
          <w:rFonts w:eastAsia="Times New Roman"/>
          <w:b/>
          <w:b/>
          <w:iCs/>
          <w:sz w:val="28"/>
          <w:szCs w:val="28"/>
        </w:rPr>
      </w:pPr>
      <w:r>
        <w:rPr>
          <w:rFonts w:eastAsia="Times New Roman"/>
          <w:b/>
          <w:iCs/>
          <w:sz w:val="28"/>
          <w:szCs w:val="28"/>
        </w:rPr>
      </w:r>
    </w:p>
    <w:p>
      <w:pPr>
        <w:pStyle w:val="Normal"/>
        <w:widowControl w:val="false"/>
        <w:tabs>
          <w:tab w:val="clear" w:pos="720"/>
          <w:tab w:val="center" w:pos="4673" w:leader="none"/>
          <w:tab w:val="left" w:pos="6992" w:leader="none"/>
        </w:tabs>
        <w:spacing w:lineRule="auto" w:line="360"/>
        <w:rPr>
          <w:rFonts w:eastAsia="Times New Roman"/>
          <w:b/>
          <w:b/>
          <w:iCs/>
          <w:sz w:val="28"/>
          <w:szCs w:val="28"/>
        </w:rPr>
      </w:pPr>
      <w:r>
        <w:rPr>
          <w:rFonts w:eastAsia="Times New Roman"/>
          <w:b/>
          <w:iCs/>
          <w:sz w:val="28"/>
          <w:szCs w:val="28"/>
        </w:rPr>
        <w:tab/>
        <w:tab/>
        <w:t>УТВЕРЖДАЮ</w:t>
      </w:r>
    </w:p>
    <w:p>
      <w:pPr>
        <w:pStyle w:val="Normal"/>
        <w:widowControl w:val="false"/>
        <w:jc w:val="right"/>
        <w:rPr>
          <w:rFonts w:eastAsia="Times New Roman"/>
          <w:iCs/>
          <w:sz w:val="24"/>
          <w:szCs w:val="24"/>
        </w:rPr>
      </w:pPr>
      <w:r>
        <w:rPr>
          <w:rFonts w:eastAsia="Times New Roman"/>
          <w:iCs/>
          <w:sz w:val="28"/>
          <w:szCs w:val="28"/>
        </w:rPr>
        <w:t>Зав. кафедрой</w:t>
      </w:r>
      <w:r>
        <w:rPr>
          <w:rFonts w:eastAsia="Times New Roman"/>
          <w:iCs/>
          <w:sz w:val="24"/>
          <w:szCs w:val="24"/>
        </w:rPr>
        <w:t xml:space="preserve"> УП</w:t>
      </w:r>
    </w:p>
    <w:p>
      <w:pPr>
        <w:pStyle w:val="Normal"/>
        <w:widowControl w:val="false"/>
        <w:jc w:val="right"/>
        <w:rPr>
          <w:rFonts w:eastAsia="Times New Roman"/>
          <w:iCs/>
          <w:sz w:val="20"/>
          <w:szCs w:val="20"/>
        </w:rPr>
      </w:pPr>
      <w:r>
        <w:rPr>
          <w:rFonts w:eastAsia="Times New Roman"/>
          <w:iCs/>
          <w:sz w:val="20"/>
          <w:szCs w:val="20"/>
        </w:rPr>
        <w:t>название</w:t>
      </w:r>
    </w:p>
    <w:p>
      <w:pPr>
        <w:pStyle w:val="Normal"/>
        <w:widowControl w:val="false"/>
        <w:jc w:val="right"/>
        <w:rPr>
          <w:rFonts w:eastAsia="Times New Roman"/>
          <w:iCs/>
          <w:sz w:val="24"/>
          <w:szCs w:val="24"/>
        </w:rPr>
      </w:pPr>
      <w:r>
        <w:rPr>
          <w:rFonts w:eastAsia="Times New Roman"/>
          <w:iCs/>
          <w:sz w:val="24"/>
          <w:szCs w:val="24"/>
        </w:rPr>
        <w:t>___________/ Г.Б. Романовский /</w:t>
      </w:r>
    </w:p>
    <w:p>
      <w:pPr>
        <w:pStyle w:val="Normal"/>
        <w:widowControl w:val="false"/>
        <w:jc w:val="right"/>
        <w:rPr>
          <w:rFonts w:eastAsia="Times New Roman"/>
          <w:sz w:val="20"/>
          <w:szCs w:val="20"/>
        </w:rPr>
      </w:pPr>
      <w:r>
        <w:rPr>
          <w:rFonts w:eastAsia="Times New Roman"/>
          <w:sz w:val="20"/>
          <w:szCs w:val="20"/>
        </w:rPr>
        <w:t>(инициалы и фамилия)</w:t>
      </w:r>
    </w:p>
    <w:p>
      <w:pPr>
        <w:pStyle w:val="Normal"/>
        <w:widowControl w:val="false"/>
        <w:spacing w:lineRule="auto" w:line="360"/>
        <w:jc w:val="right"/>
        <w:rPr>
          <w:rFonts w:eastAsia="Times New Roman"/>
          <w:iCs/>
          <w:sz w:val="24"/>
          <w:szCs w:val="24"/>
        </w:rPr>
      </w:pPr>
      <w:r>
        <w:rPr>
          <w:rFonts w:eastAsia="Times New Roman"/>
          <w:iCs/>
          <w:sz w:val="24"/>
          <w:szCs w:val="24"/>
        </w:rPr>
        <w:t>«__» _________2021 г.</w:t>
      </w:r>
    </w:p>
    <w:p>
      <w:pPr>
        <w:pStyle w:val="Normal"/>
        <w:widowControl w:val="false"/>
        <w:spacing w:lineRule="auto" w:line="360"/>
        <w:rPr>
          <w:rFonts w:eastAsia="Times New Roman"/>
          <w:sz w:val="24"/>
          <w:szCs w:val="24"/>
        </w:rPr>
      </w:pPr>
      <w:r>
        <w:rPr>
          <w:rFonts w:eastAsia="Times New Roman"/>
          <w:sz w:val="24"/>
          <w:szCs w:val="24"/>
        </w:rPr>
      </w:r>
    </w:p>
    <w:p>
      <w:pPr>
        <w:pStyle w:val="Normal"/>
        <w:widowControl w:val="false"/>
        <w:spacing w:lineRule="auto" w:line="360"/>
        <w:rPr>
          <w:rFonts w:eastAsia="Times New Roman"/>
          <w:sz w:val="24"/>
          <w:szCs w:val="24"/>
        </w:rPr>
      </w:pPr>
      <w:r>
        <w:rPr>
          <w:rFonts w:eastAsia="Times New Roman"/>
          <w:sz w:val="24"/>
          <w:szCs w:val="24"/>
        </w:rPr>
      </w:r>
    </w:p>
    <w:p>
      <w:pPr>
        <w:pStyle w:val="Normal"/>
        <w:widowControl w:val="false"/>
        <w:spacing w:lineRule="auto" w:line="360"/>
        <w:rPr>
          <w:rFonts w:eastAsia="Times New Roman"/>
          <w:sz w:val="24"/>
          <w:szCs w:val="24"/>
        </w:rPr>
      </w:pPr>
      <w:r>
        <w:rPr>
          <w:rFonts w:eastAsia="Times New Roman"/>
          <w:sz w:val="24"/>
          <w:szCs w:val="24"/>
        </w:rPr>
      </w:r>
    </w:p>
    <w:p>
      <w:pPr>
        <w:pStyle w:val="Normal"/>
        <w:widowControl w:val="false"/>
        <w:spacing w:lineRule="auto" w:line="360"/>
        <w:jc w:val="center"/>
        <w:rPr>
          <w:rFonts w:eastAsia="Times New Roman"/>
          <w:b/>
          <w:b/>
          <w:iCs/>
          <w:sz w:val="26"/>
          <w:szCs w:val="26"/>
        </w:rPr>
      </w:pPr>
      <w:r>
        <w:rPr>
          <w:rFonts w:eastAsia="Times New Roman"/>
          <w:b/>
          <w:iCs/>
          <w:sz w:val="26"/>
          <w:szCs w:val="26"/>
        </w:rPr>
        <w:t>ЗАДАНИЕ</w:t>
      </w:r>
    </w:p>
    <w:p>
      <w:pPr>
        <w:pStyle w:val="Normal"/>
        <w:widowControl w:val="false"/>
        <w:spacing w:lineRule="auto" w:line="360"/>
        <w:jc w:val="center"/>
        <w:rPr>
          <w:rFonts w:eastAsia="Times New Roman"/>
          <w:iCs/>
          <w:sz w:val="26"/>
          <w:szCs w:val="26"/>
        </w:rPr>
      </w:pPr>
      <w:r>
        <w:rPr>
          <w:rFonts w:eastAsia="Times New Roman"/>
          <w:iCs/>
          <w:sz w:val="26"/>
          <w:szCs w:val="26"/>
        </w:rPr>
        <w:t>на выпускную квалификационную работу студента гр.№17ЮДО4</w:t>
      </w:r>
    </w:p>
    <w:p>
      <w:pPr>
        <w:pStyle w:val="Normal"/>
        <w:widowControl w:val="false"/>
        <w:jc w:val="center"/>
        <w:rPr>
          <w:rFonts w:eastAsia="Times New Roman"/>
          <w:iCs/>
          <w:color w:val="FF0000"/>
          <w:sz w:val="28"/>
          <w:szCs w:val="28"/>
        </w:rPr>
      </w:pPr>
      <w:r>
        <w:rPr>
          <w:rFonts w:eastAsia="Times New Roman"/>
          <w:iCs/>
          <w:color w:val="FF0000"/>
          <w:sz w:val="28"/>
          <w:szCs w:val="28"/>
        </w:rPr>
        <w:t>Мишина Михаила Отчество</w:t>
      </w:r>
    </w:p>
    <w:p>
      <w:pPr>
        <w:pStyle w:val="Normal"/>
        <w:widowControl w:val="false"/>
        <w:jc w:val="center"/>
        <w:rPr>
          <w:rFonts w:eastAsia="Times New Roman"/>
          <w:sz w:val="28"/>
          <w:szCs w:val="28"/>
        </w:rPr>
      </w:pPr>
      <w:r>
        <w:rPr>
          <w:rFonts w:eastAsia="Times New Roman"/>
          <w:sz w:val="28"/>
          <w:szCs w:val="28"/>
        </w:rPr>
      </w:r>
    </w:p>
    <w:p>
      <w:pPr>
        <w:pStyle w:val="Normal"/>
        <w:widowControl w:val="false"/>
        <w:tabs>
          <w:tab w:val="clear" w:pos="720"/>
          <w:tab w:val="left" w:pos="5501" w:leader="underscore"/>
        </w:tabs>
        <w:spacing w:lineRule="auto" w:line="360"/>
        <w:rPr>
          <w:rFonts w:eastAsia="Times New Roman"/>
          <w:bCs/>
          <w:sz w:val="26"/>
          <w:szCs w:val="26"/>
        </w:rPr>
      </w:pPr>
      <w:r>
        <w:rPr>
          <w:rFonts w:eastAsia="Times New Roman"/>
          <w:bCs/>
          <w:sz w:val="26"/>
          <w:szCs w:val="26"/>
        </w:rPr>
      </w:r>
    </w:p>
    <w:p>
      <w:pPr>
        <w:pStyle w:val="Normal"/>
        <w:widowControl w:val="false"/>
        <w:tabs>
          <w:tab w:val="clear" w:pos="720"/>
          <w:tab w:val="left" w:pos="9360" w:leader="underscore"/>
        </w:tabs>
        <w:spacing w:lineRule="auto" w:line="360"/>
        <w:rPr>
          <w:rFonts w:eastAsia="Times New Roman"/>
          <w:b/>
          <w:b/>
          <w:iCs/>
          <w:sz w:val="26"/>
          <w:szCs w:val="26"/>
        </w:rPr>
      </w:pPr>
      <w:r>
        <w:rPr>
          <w:rFonts w:eastAsia="Times New Roman"/>
          <w:b/>
          <w:bCs/>
          <w:sz w:val="26"/>
          <w:szCs w:val="26"/>
        </w:rPr>
        <w:t xml:space="preserve">1. </w:t>
      </w:r>
      <w:r>
        <w:rPr>
          <w:rFonts w:eastAsia="Times New Roman"/>
          <w:b/>
          <w:iCs/>
          <w:sz w:val="26"/>
          <w:szCs w:val="26"/>
        </w:rPr>
        <w:t xml:space="preserve">Тема работы </w:t>
      </w:r>
      <w:r>
        <w:rPr>
          <w:rFonts w:eastAsia="Times New Roman"/>
          <w:sz w:val="28"/>
          <w:szCs w:val="28"/>
          <w:u w:val="single"/>
        </w:rPr>
        <w:t>Ответственность за причинение тяжкого вреда здоровью. Виды этого преступления</w:t>
      </w:r>
    </w:p>
    <w:p>
      <w:pPr>
        <w:pStyle w:val="Normal"/>
        <w:widowControl w:val="false"/>
        <w:tabs>
          <w:tab w:val="clear" w:pos="720"/>
          <w:tab w:val="left" w:pos="9360" w:leader="underscore"/>
        </w:tabs>
        <w:spacing w:lineRule="auto" w:line="360"/>
        <w:rPr>
          <w:rFonts w:eastAsia="Times New Roman"/>
          <w:b/>
          <w:b/>
          <w:bCs/>
          <w:sz w:val="26"/>
          <w:szCs w:val="26"/>
        </w:rPr>
      </w:pPr>
      <w:r>
        <w:rPr>
          <w:rFonts w:eastAsia="Times New Roman"/>
          <w:b/>
          <w:bCs/>
          <w:sz w:val="26"/>
          <w:szCs w:val="26"/>
        </w:rPr>
        <w:t xml:space="preserve">2. Научный руководитель </w:t>
      </w:r>
      <w:r>
        <w:rPr>
          <w:rFonts w:eastAsia="Times New Roman"/>
          <w:bCs/>
          <w:sz w:val="26"/>
          <w:szCs w:val="26"/>
          <w:u w:val="single"/>
        </w:rPr>
        <w:t>доцент, к.ю.н. О.А. Рыжова</w:t>
      </w:r>
    </w:p>
    <w:p>
      <w:pPr>
        <w:pStyle w:val="Normal"/>
        <w:widowControl w:val="false"/>
        <w:tabs>
          <w:tab w:val="clear" w:pos="720"/>
          <w:tab w:val="left" w:pos="3965" w:leader="underscore"/>
        </w:tabs>
        <w:spacing w:lineRule="auto" w:line="360"/>
        <w:rPr>
          <w:rFonts w:eastAsia="Times New Roman"/>
          <w:b/>
          <w:b/>
          <w:bCs/>
          <w:sz w:val="26"/>
          <w:szCs w:val="26"/>
        </w:rPr>
      </w:pPr>
      <w:r>
        <w:rPr>
          <w:rFonts w:eastAsia="Times New Roman"/>
          <w:b/>
          <w:bCs/>
          <w:sz w:val="26"/>
          <w:szCs w:val="26"/>
        </w:rPr>
        <w:t xml:space="preserve">3. Дата выдачи задания </w:t>
      </w:r>
      <w:r>
        <w:rPr>
          <w:rFonts w:eastAsia="Times New Roman"/>
          <w:bCs/>
          <w:color w:val="FF0000"/>
          <w:sz w:val="26"/>
          <w:szCs w:val="26"/>
        </w:rPr>
        <w:t>20.11.2020 г</w:t>
      </w:r>
      <w:r>
        <w:rPr>
          <w:rFonts w:eastAsia="Times New Roman"/>
          <w:bCs/>
          <w:sz w:val="26"/>
          <w:szCs w:val="26"/>
        </w:rPr>
        <w:t>.</w:t>
      </w:r>
    </w:p>
    <w:p>
      <w:pPr>
        <w:pStyle w:val="Normal"/>
        <w:widowControl w:val="false"/>
        <w:tabs>
          <w:tab w:val="clear" w:pos="720"/>
          <w:tab w:val="left" w:pos="3965" w:leader="underscore"/>
        </w:tabs>
        <w:spacing w:lineRule="auto" w:line="360"/>
        <w:rPr>
          <w:rFonts w:eastAsia="Times New Roman"/>
          <w:bCs/>
          <w:sz w:val="26"/>
          <w:szCs w:val="26"/>
        </w:rPr>
      </w:pPr>
      <w:r>
        <w:rPr>
          <w:rFonts w:eastAsia="Times New Roman"/>
          <w:b/>
          <w:bCs/>
          <w:sz w:val="26"/>
          <w:szCs w:val="26"/>
        </w:rPr>
        <w:t xml:space="preserve">4. Срок сдачи студентом законченной работы </w:t>
      </w:r>
      <w:r>
        <w:rPr>
          <w:rFonts w:eastAsia="Times New Roman"/>
          <w:bCs/>
          <w:color w:val="FF0000"/>
          <w:sz w:val="26"/>
          <w:szCs w:val="26"/>
        </w:rPr>
        <w:t>10.02.2021 г.</w:t>
      </w:r>
    </w:p>
    <w:p>
      <w:pPr>
        <w:pStyle w:val="Normal"/>
        <w:widowControl w:val="false"/>
        <w:tabs>
          <w:tab w:val="clear" w:pos="720"/>
          <w:tab w:val="left" w:pos="4138" w:leader="none"/>
          <w:tab w:val="right" w:pos="9355" w:leader="none"/>
        </w:tabs>
        <w:spacing w:lineRule="auto" w:line="360"/>
        <w:rPr>
          <w:rFonts w:eastAsia="Times New Roman"/>
          <w:b/>
          <w:b/>
          <w:bCs/>
          <w:sz w:val="26"/>
          <w:szCs w:val="26"/>
        </w:rPr>
      </w:pPr>
      <w:r>
        <w:rPr>
          <w:rFonts w:eastAsia="Times New Roman"/>
          <w:b/>
          <w:bCs/>
          <w:sz w:val="26"/>
          <w:szCs w:val="26"/>
        </w:rPr>
        <w:t>5. Перечень подлежащих разработке вопросов:</w:t>
      </w:r>
    </w:p>
    <w:p>
      <w:pPr>
        <w:pStyle w:val="Normal"/>
        <w:spacing w:lineRule="auto" w:line="360" w:before="0" w:after="160"/>
        <w:contextualSpacing/>
        <w:jc w:val="both"/>
        <w:rPr>
          <w:rFonts w:eastAsia="Calibri"/>
          <w:sz w:val="28"/>
          <w:szCs w:val="28"/>
          <w:lang w:eastAsia="en-US"/>
        </w:rPr>
      </w:pPr>
      <w:r>
        <w:rPr>
          <w:rFonts w:eastAsia="Calibri"/>
          <w:sz w:val="28"/>
          <w:szCs w:val="28"/>
          <w:lang w:eastAsia="en-US"/>
        </w:rPr>
        <w:t>- дать уголовно-правовой анализ понятия «вред здоровью»;</w:t>
      </w:r>
    </w:p>
    <w:p>
      <w:pPr>
        <w:pStyle w:val="Normal"/>
        <w:spacing w:lineRule="auto" w:line="360" w:before="0" w:after="160"/>
        <w:contextualSpacing/>
        <w:jc w:val="both"/>
        <w:rPr>
          <w:rFonts w:eastAsia="Calibri"/>
          <w:sz w:val="28"/>
          <w:szCs w:val="28"/>
          <w:lang w:eastAsia="en-US"/>
        </w:rPr>
      </w:pPr>
      <w:r>
        <w:rPr>
          <w:rFonts w:eastAsia="Calibri"/>
          <w:sz w:val="28"/>
          <w:szCs w:val="28"/>
          <w:lang w:eastAsia="en-US"/>
        </w:rPr>
        <w:t>- раскрыть объективные  признаки  преступления,  предусмотренного  ст.  111  УК РФ;</w:t>
      </w:r>
    </w:p>
    <w:p>
      <w:pPr>
        <w:pStyle w:val="Normal"/>
        <w:spacing w:lineRule="auto" w:line="360" w:before="0" w:after="160"/>
        <w:contextualSpacing/>
        <w:jc w:val="both"/>
        <w:rPr>
          <w:rFonts w:eastAsia="Calibri"/>
          <w:sz w:val="28"/>
          <w:szCs w:val="28"/>
          <w:lang w:eastAsia="en-US"/>
        </w:rPr>
      </w:pPr>
      <w:r>
        <w:rPr>
          <w:rFonts w:eastAsia="Calibri"/>
          <w:sz w:val="28"/>
          <w:szCs w:val="28"/>
          <w:lang w:eastAsia="en-US"/>
        </w:rPr>
        <w:t>- охарактеризовать субъективные  признаки  преступления,  предусмотренного  ст.  111  УК РФ;</w:t>
      </w:r>
    </w:p>
    <w:p>
      <w:pPr>
        <w:pStyle w:val="Normal"/>
        <w:spacing w:lineRule="auto" w:line="360" w:before="0" w:after="160"/>
        <w:contextualSpacing/>
        <w:jc w:val="both"/>
        <w:rPr>
          <w:rFonts w:eastAsia="Calibri"/>
          <w:sz w:val="28"/>
          <w:szCs w:val="28"/>
          <w:lang w:eastAsia="en-US"/>
        </w:rPr>
      </w:pPr>
      <w:r>
        <w:rPr>
          <w:rFonts w:eastAsia="Calibri"/>
          <w:sz w:val="28"/>
          <w:szCs w:val="28"/>
          <w:lang w:eastAsia="en-US"/>
        </w:rPr>
        <w:t>- определить квалифицирующие признаки I, II и III степени ст. 111 УК РФ;</w:t>
      </w:r>
    </w:p>
    <w:p>
      <w:pPr>
        <w:pStyle w:val="Normal"/>
        <w:spacing w:lineRule="auto" w:line="360" w:before="0" w:after="160"/>
        <w:contextualSpacing/>
        <w:jc w:val="both"/>
        <w:rPr>
          <w:rFonts w:eastAsia="Calibri"/>
          <w:sz w:val="28"/>
          <w:szCs w:val="28"/>
          <w:lang w:eastAsia="en-US"/>
        </w:rPr>
      </w:pPr>
      <w:r>
        <w:rPr>
          <w:rFonts w:eastAsia="Calibri"/>
          <w:sz w:val="28"/>
          <w:szCs w:val="28"/>
          <w:lang w:eastAsia="en-US"/>
        </w:rPr>
        <w:t>- отграничить причинение вреда тяжкого здоровью от смежных составов преступлений.</w:t>
      </w:r>
    </w:p>
    <w:p>
      <w:pPr>
        <w:pStyle w:val="Normal"/>
        <w:spacing w:lineRule="auto" w:line="360" w:before="0" w:after="160"/>
        <w:contextualSpacing/>
        <w:jc w:val="both"/>
        <w:rPr>
          <w:rFonts w:eastAsia="Calibri"/>
          <w:sz w:val="28"/>
          <w:szCs w:val="28"/>
          <w:lang w:eastAsia="en-US"/>
        </w:rPr>
      </w:pPr>
      <w:r>
        <w:rPr>
          <w:rFonts w:eastAsia="Calibri"/>
          <w:sz w:val="28"/>
          <w:szCs w:val="28"/>
          <w:lang w:eastAsia="en-US"/>
        </w:rPr>
      </w:r>
    </w:p>
    <w:p>
      <w:pPr>
        <w:pStyle w:val="Normal"/>
        <w:spacing w:lineRule="auto" w:line="360" w:before="0" w:after="160"/>
        <w:contextualSpacing/>
        <w:jc w:val="both"/>
        <w:rPr>
          <w:rFonts w:eastAsia="Calibri"/>
          <w:sz w:val="28"/>
          <w:szCs w:val="28"/>
          <w:lang w:eastAsia="en-US"/>
        </w:rPr>
      </w:pPr>
      <w:r>
        <w:rPr>
          <w:rFonts w:eastAsia="Calibri"/>
          <w:sz w:val="28"/>
          <w:szCs w:val="28"/>
          <w:lang w:eastAsia="en-US"/>
        </w:rPr>
        <w:t>6. Консультанты по работе, с указанием относящихся к ним разделов работы</w:t>
      </w:r>
    </w:p>
    <w:p>
      <w:pPr>
        <w:pStyle w:val="Normal"/>
        <w:spacing w:lineRule="auto" w:line="360" w:before="0" w:after="160"/>
        <w:contextualSpacing/>
        <w:jc w:val="both"/>
        <w:rPr>
          <w:rFonts w:eastAsia="Calibri"/>
          <w:sz w:val="28"/>
          <w:szCs w:val="28"/>
          <w:lang w:eastAsia="en-US"/>
        </w:rPr>
      </w:pPr>
      <w:r>
        <w:rPr>
          <w:rFonts w:eastAsia="Calibri"/>
          <w:sz w:val="28"/>
          <w:szCs w:val="28"/>
          <w:lang w:eastAsia="en-US"/>
        </w:rPr>
      </w:r>
    </w:p>
    <w:tbl>
      <w:tblPr>
        <w:tblpPr w:bottomFromText="0" w:horzAnchor="margin" w:leftFromText="180" w:rightFromText="180" w:tblpX="0" w:tblpY="615" w:topFromText="0" w:vertAnchor="margin"/>
        <w:tblW w:w="9318" w:type="dxa"/>
        <w:jc w:val="left"/>
        <w:tblInd w:w="108"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1e0" w:noVBand="0" w:noHBand="0" w:lastColumn="1" w:firstColumn="1" w:lastRow="1" w:firstRow="1"/>
      </w:tblPr>
      <w:tblGrid>
        <w:gridCol w:w="2908"/>
        <w:gridCol w:w="1844"/>
        <w:gridCol w:w="2359"/>
        <w:gridCol w:w="2206"/>
      </w:tblGrid>
      <w:tr>
        <w:trPr>
          <w:trHeight w:val="309" w:hRule="atLeast"/>
        </w:trPr>
        <w:tc>
          <w:tcPr>
            <w:tcW w:w="2908" w:type="dxa"/>
            <w:vMerge w:val="restart"/>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spacing w:lineRule="auto" w:line="360"/>
              <w:jc w:val="center"/>
              <w:rPr>
                <w:rFonts w:eastAsia="Times New Roman"/>
                <w:b/>
                <w:b/>
                <w:sz w:val="26"/>
                <w:szCs w:val="26"/>
              </w:rPr>
            </w:pPr>
            <w:r>
              <w:rPr>
                <w:rFonts w:eastAsia="Times New Roman"/>
                <w:b/>
                <w:sz w:val="26"/>
                <w:szCs w:val="26"/>
              </w:rPr>
              <w:t>Раздел</w:t>
            </w:r>
          </w:p>
        </w:tc>
        <w:tc>
          <w:tcPr>
            <w:tcW w:w="1844" w:type="dxa"/>
            <w:vMerge w:val="restart"/>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spacing w:lineRule="auto" w:line="360"/>
              <w:jc w:val="center"/>
              <w:rPr>
                <w:rFonts w:eastAsia="Times New Roman"/>
                <w:b/>
                <w:b/>
                <w:sz w:val="24"/>
                <w:szCs w:val="24"/>
              </w:rPr>
            </w:pPr>
            <w:r>
              <w:rPr>
                <w:rFonts w:eastAsia="Times New Roman"/>
                <w:b/>
                <w:sz w:val="24"/>
                <w:szCs w:val="24"/>
              </w:rPr>
              <w:t>Консультант</w:t>
            </w:r>
          </w:p>
        </w:tc>
        <w:tc>
          <w:tcPr>
            <w:tcW w:w="4565" w:type="dxa"/>
            <w:gridSpan w:val="2"/>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widowControl w:val="false"/>
              <w:spacing w:lineRule="auto" w:line="360"/>
              <w:jc w:val="center"/>
              <w:rPr>
                <w:rFonts w:eastAsia="Times New Roman"/>
                <w:b/>
                <w:b/>
                <w:sz w:val="24"/>
                <w:szCs w:val="24"/>
              </w:rPr>
            </w:pPr>
            <w:r>
              <w:rPr>
                <w:rFonts w:eastAsia="Times New Roman"/>
                <w:b/>
                <w:sz w:val="24"/>
                <w:szCs w:val="24"/>
              </w:rPr>
              <w:t>Подпись, дата</w:t>
            </w:r>
          </w:p>
        </w:tc>
      </w:tr>
      <w:tr>
        <w:trPr>
          <w:trHeight w:val="309" w:hRule="atLeast"/>
        </w:trPr>
        <w:tc>
          <w:tcPr>
            <w:tcW w:w="2908" w:type="dxa"/>
            <w:vMerge w:val="continue"/>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widowControl w:val="false"/>
              <w:spacing w:lineRule="auto" w:line="360"/>
              <w:jc w:val="center"/>
              <w:rPr>
                <w:rFonts w:eastAsia="Times New Roman"/>
                <w:sz w:val="26"/>
                <w:szCs w:val="26"/>
              </w:rPr>
            </w:pPr>
            <w:r>
              <w:rPr>
                <w:rFonts w:eastAsia="Times New Roman"/>
                <w:sz w:val="26"/>
                <w:szCs w:val="26"/>
              </w:rPr>
            </w:r>
          </w:p>
        </w:tc>
        <w:tc>
          <w:tcPr>
            <w:tcW w:w="1844" w:type="dxa"/>
            <w:vMerge w:val="continue"/>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widowControl w:val="false"/>
              <w:spacing w:lineRule="auto" w:line="360"/>
              <w:jc w:val="center"/>
              <w:rPr>
                <w:rFonts w:eastAsia="Times New Roman"/>
                <w:sz w:val="24"/>
                <w:szCs w:val="24"/>
              </w:rPr>
            </w:pPr>
            <w:r>
              <w:rPr>
                <w:rFonts w:eastAsia="Times New Roman"/>
                <w:sz w:val="24"/>
                <w:szCs w:val="24"/>
              </w:rPr>
            </w:r>
          </w:p>
        </w:tc>
        <w:tc>
          <w:tcPr>
            <w:tcW w:w="2359"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widowControl w:val="false"/>
              <w:spacing w:lineRule="auto" w:line="360"/>
              <w:jc w:val="center"/>
              <w:rPr>
                <w:rFonts w:eastAsia="Times New Roman"/>
                <w:b/>
                <w:b/>
                <w:sz w:val="24"/>
                <w:szCs w:val="24"/>
              </w:rPr>
            </w:pPr>
            <w:r>
              <w:rPr>
                <w:rFonts w:eastAsia="Times New Roman"/>
                <w:b/>
                <w:sz w:val="24"/>
                <w:szCs w:val="24"/>
              </w:rPr>
              <w:t>Задание выдал</w:t>
            </w:r>
          </w:p>
        </w:tc>
        <w:tc>
          <w:tcPr>
            <w:tcW w:w="2206"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widowControl w:val="false"/>
              <w:spacing w:lineRule="auto" w:line="360"/>
              <w:jc w:val="center"/>
              <w:rPr>
                <w:rFonts w:eastAsia="Times New Roman"/>
                <w:b/>
                <w:b/>
                <w:sz w:val="24"/>
                <w:szCs w:val="24"/>
              </w:rPr>
            </w:pPr>
            <w:r>
              <w:rPr>
                <w:rFonts w:eastAsia="Times New Roman"/>
                <w:b/>
                <w:sz w:val="24"/>
                <w:szCs w:val="24"/>
              </w:rPr>
              <w:t>Выполненное задание принял</w:t>
            </w:r>
          </w:p>
        </w:tc>
      </w:tr>
      <w:tr>
        <w:trPr>
          <w:trHeight w:val="309" w:hRule="atLeast"/>
        </w:trPr>
        <w:tc>
          <w:tcPr>
            <w:tcW w:w="2908"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6"/>
                <w:szCs w:val="26"/>
              </w:rPr>
            </w:pPr>
            <w:r>
              <w:rPr>
                <w:rFonts w:eastAsia="Times New Roman"/>
                <w:sz w:val="26"/>
                <w:szCs w:val="26"/>
              </w:rPr>
              <w:t>Введение</w:t>
            </w:r>
          </w:p>
        </w:tc>
        <w:tc>
          <w:tcPr>
            <w:tcW w:w="1844"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r>
          </w:p>
        </w:tc>
        <w:tc>
          <w:tcPr>
            <w:tcW w:w="2359"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20 ноября 2020 г.</w:t>
            </w:r>
          </w:p>
          <w:p>
            <w:pPr>
              <w:pStyle w:val="Normal"/>
              <w:widowControl w:val="false"/>
              <w:jc w:val="center"/>
              <w:rPr>
                <w:rFonts w:eastAsia="Times New Roman"/>
                <w:sz w:val="24"/>
                <w:szCs w:val="24"/>
              </w:rPr>
            </w:pPr>
            <w:r>
              <w:rPr>
                <w:rFonts w:eastAsia="Times New Roman"/>
                <w:sz w:val="24"/>
                <w:szCs w:val="24"/>
              </w:rPr>
              <w:t>Рыжова О.А.</w:t>
            </w:r>
          </w:p>
          <w:p>
            <w:pPr>
              <w:pStyle w:val="Normal"/>
              <w:widowControl w:val="false"/>
              <w:jc w:val="center"/>
              <w:rPr>
                <w:rFonts w:eastAsia="Times New Roman"/>
                <w:sz w:val="18"/>
                <w:szCs w:val="18"/>
              </w:rPr>
            </w:pPr>
            <w:r>
              <w:rPr>
                <w:rFonts w:eastAsia="Times New Roman"/>
                <w:sz w:val="24"/>
                <w:szCs w:val="24"/>
              </w:rPr>
              <w:t>_____________</w:t>
            </w:r>
          </w:p>
        </w:tc>
        <w:tc>
          <w:tcPr>
            <w:tcW w:w="2206"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9 декабря 2020 г.</w:t>
            </w:r>
          </w:p>
          <w:p>
            <w:pPr>
              <w:pStyle w:val="Normal"/>
              <w:widowControl w:val="false"/>
              <w:jc w:val="center"/>
              <w:rPr>
                <w:rFonts w:eastAsia="Times New Roman"/>
                <w:sz w:val="24"/>
                <w:szCs w:val="24"/>
              </w:rPr>
            </w:pPr>
            <w:r>
              <w:rPr>
                <w:rFonts w:eastAsia="Times New Roman"/>
                <w:sz w:val="24"/>
                <w:szCs w:val="24"/>
              </w:rPr>
              <w:t>Рыжова О.А.</w:t>
            </w:r>
          </w:p>
          <w:p>
            <w:pPr>
              <w:pStyle w:val="Normal"/>
              <w:widowControl w:val="false"/>
              <w:jc w:val="center"/>
              <w:rPr>
                <w:rFonts w:eastAsia="Times New Roman"/>
                <w:sz w:val="24"/>
                <w:szCs w:val="24"/>
              </w:rPr>
            </w:pPr>
            <w:r>
              <w:rPr>
                <w:rFonts w:eastAsia="Times New Roman"/>
                <w:sz w:val="24"/>
                <w:szCs w:val="24"/>
              </w:rPr>
              <w:t>_____________</w:t>
            </w:r>
          </w:p>
        </w:tc>
      </w:tr>
      <w:tr>
        <w:trPr>
          <w:trHeight w:val="330" w:hRule="atLeast"/>
        </w:trPr>
        <w:tc>
          <w:tcPr>
            <w:tcW w:w="2908"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Уголовно-правовая характеристика умышленного причинения тяжкого вреда здоровью</w:t>
            </w:r>
          </w:p>
          <w:p>
            <w:pPr>
              <w:pStyle w:val="Normal"/>
              <w:widowControl w:val="false"/>
              <w:jc w:val="center"/>
              <w:rPr>
                <w:rFonts w:eastAsia="Times New Roman"/>
                <w:sz w:val="24"/>
                <w:szCs w:val="24"/>
              </w:rPr>
            </w:pPr>
            <w:r>
              <w:rPr>
                <w:rFonts w:eastAsia="Times New Roman"/>
                <w:sz w:val="24"/>
                <w:szCs w:val="24"/>
              </w:rPr>
            </w:r>
          </w:p>
        </w:tc>
        <w:tc>
          <w:tcPr>
            <w:tcW w:w="1844"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r>
          </w:p>
        </w:tc>
        <w:tc>
          <w:tcPr>
            <w:tcW w:w="235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10 декабря 2020 г.</w:t>
            </w:r>
          </w:p>
          <w:p>
            <w:pPr>
              <w:pStyle w:val="Normal"/>
              <w:widowControl w:val="false"/>
              <w:jc w:val="center"/>
              <w:rPr>
                <w:rFonts w:eastAsia="Times New Roman"/>
                <w:sz w:val="24"/>
                <w:szCs w:val="24"/>
              </w:rPr>
            </w:pPr>
            <w:r>
              <w:rPr>
                <w:rFonts w:eastAsia="Times New Roman"/>
                <w:sz w:val="24"/>
                <w:szCs w:val="24"/>
              </w:rPr>
              <w:t>Рыжова О.А.</w:t>
            </w:r>
          </w:p>
          <w:p>
            <w:pPr>
              <w:pStyle w:val="Normal"/>
              <w:widowControl w:val="false"/>
              <w:jc w:val="center"/>
              <w:rPr>
                <w:rFonts w:eastAsia="Times New Roman"/>
                <w:sz w:val="24"/>
                <w:szCs w:val="24"/>
              </w:rPr>
            </w:pPr>
            <w:r>
              <w:rPr>
                <w:rFonts w:eastAsia="Times New Roman"/>
                <w:sz w:val="24"/>
                <w:szCs w:val="24"/>
              </w:rPr>
              <w:t>____________</w:t>
            </w:r>
          </w:p>
        </w:tc>
        <w:tc>
          <w:tcPr>
            <w:tcW w:w="2206"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18 января 2021 г.</w:t>
            </w:r>
          </w:p>
          <w:p>
            <w:pPr>
              <w:pStyle w:val="Normal"/>
              <w:widowControl w:val="false"/>
              <w:jc w:val="center"/>
              <w:rPr>
                <w:rFonts w:eastAsia="Times New Roman"/>
                <w:sz w:val="24"/>
                <w:szCs w:val="24"/>
              </w:rPr>
            </w:pPr>
            <w:r>
              <w:rPr>
                <w:rFonts w:eastAsia="Times New Roman"/>
                <w:sz w:val="24"/>
                <w:szCs w:val="24"/>
              </w:rPr>
              <w:t>Рыжова О.А.</w:t>
            </w:r>
          </w:p>
          <w:p>
            <w:pPr>
              <w:pStyle w:val="Normal"/>
              <w:widowControl w:val="false"/>
              <w:jc w:val="center"/>
              <w:rPr>
                <w:rFonts w:eastAsia="Times New Roman"/>
                <w:sz w:val="24"/>
                <w:szCs w:val="24"/>
              </w:rPr>
            </w:pPr>
            <w:r>
              <w:rPr>
                <w:rFonts w:eastAsia="Times New Roman"/>
                <w:sz w:val="24"/>
                <w:szCs w:val="24"/>
              </w:rPr>
              <w:t>_____________</w:t>
            </w:r>
          </w:p>
        </w:tc>
      </w:tr>
      <w:tr>
        <w:trPr>
          <w:trHeight w:val="330" w:hRule="atLeast"/>
        </w:trPr>
        <w:tc>
          <w:tcPr>
            <w:tcW w:w="2908"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Отграничение причинения вреда тяжкого здоровью от смежных составов преступлений</w:t>
            </w:r>
          </w:p>
        </w:tc>
        <w:tc>
          <w:tcPr>
            <w:tcW w:w="1844"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r>
          </w:p>
        </w:tc>
        <w:tc>
          <w:tcPr>
            <w:tcW w:w="235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18 января 2021 г.</w:t>
            </w:r>
          </w:p>
          <w:p>
            <w:pPr>
              <w:pStyle w:val="Normal"/>
              <w:widowControl w:val="false"/>
              <w:jc w:val="center"/>
              <w:rPr>
                <w:rFonts w:eastAsia="Times New Roman"/>
                <w:sz w:val="24"/>
                <w:szCs w:val="24"/>
              </w:rPr>
            </w:pPr>
            <w:r>
              <w:rPr>
                <w:rFonts w:eastAsia="Times New Roman"/>
                <w:sz w:val="24"/>
                <w:szCs w:val="24"/>
              </w:rPr>
              <w:t>Рыжова О.А.</w:t>
            </w:r>
          </w:p>
          <w:p>
            <w:pPr>
              <w:pStyle w:val="Normal"/>
              <w:widowControl w:val="false"/>
              <w:jc w:val="center"/>
              <w:rPr>
                <w:rFonts w:eastAsia="Times New Roman"/>
                <w:sz w:val="24"/>
                <w:szCs w:val="24"/>
              </w:rPr>
            </w:pPr>
            <w:r>
              <w:rPr>
                <w:rFonts w:eastAsia="Times New Roman"/>
                <w:sz w:val="24"/>
                <w:szCs w:val="24"/>
              </w:rPr>
              <w:t>_____________</w:t>
            </w:r>
          </w:p>
        </w:tc>
        <w:tc>
          <w:tcPr>
            <w:tcW w:w="2206"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29 января 2021 г.</w:t>
            </w:r>
          </w:p>
          <w:p>
            <w:pPr>
              <w:pStyle w:val="Normal"/>
              <w:widowControl w:val="false"/>
              <w:jc w:val="center"/>
              <w:rPr>
                <w:rFonts w:eastAsia="Times New Roman"/>
                <w:sz w:val="24"/>
                <w:szCs w:val="24"/>
              </w:rPr>
            </w:pPr>
            <w:r>
              <w:rPr>
                <w:rFonts w:eastAsia="Times New Roman"/>
                <w:sz w:val="24"/>
                <w:szCs w:val="24"/>
              </w:rPr>
              <w:t>Рыжова О.А.</w:t>
            </w:r>
          </w:p>
          <w:p>
            <w:pPr>
              <w:pStyle w:val="Normal"/>
              <w:widowControl w:val="false"/>
              <w:jc w:val="center"/>
              <w:rPr>
                <w:rFonts w:eastAsia="Times New Roman"/>
                <w:sz w:val="24"/>
                <w:szCs w:val="24"/>
              </w:rPr>
            </w:pPr>
            <w:r>
              <w:rPr>
                <w:rFonts w:eastAsia="Times New Roman"/>
                <w:sz w:val="24"/>
                <w:szCs w:val="24"/>
              </w:rPr>
              <w:t>_____________</w:t>
            </w:r>
          </w:p>
        </w:tc>
      </w:tr>
      <w:tr>
        <w:trPr>
          <w:trHeight w:val="330" w:hRule="atLeast"/>
        </w:trPr>
        <w:tc>
          <w:tcPr>
            <w:tcW w:w="2908"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59" w:before="0" w:after="160"/>
              <w:jc w:val="center"/>
              <w:rPr>
                <w:rFonts w:eastAsia="Calibri"/>
                <w:sz w:val="24"/>
                <w:szCs w:val="24"/>
                <w:lang w:eastAsia="en-US"/>
              </w:rPr>
            </w:pPr>
            <w:r>
              <w:rPr>
                <w:rFonts w:eastAsia="Calibri"/>
                <w:sz w:val="24"/>
                <w:szCs w:val="24"/>
                <w:lang w:eastAsia="en-US"/>
              </w:rPr>
              <w:t>Заключение</w:t>
            </w:r>
          </w:p>
        </w:tc>
        <w:tc>
          <w:tcPr>
            <w:tcW w:w="1844"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widowControl w:val="false"/>
              <w:jc w:val="center"/>
              <w:rPr>
                <w:rFonts w:eastAsia="Times New Roman"/>
                <w:iCs/>
                <w:sz w:val="24"/>
                <w:szCs w:val="24"/>
              </w:rPr>
            </w:pPr>
            <w:r>
              <w:rPr>
                <w:rFonts w:eastAsia="Times New Roman"/>
                <w:iCs/>
                <w:sz w:val="24"/>
                <w:szCs w:val="24"/>
              </w:rPr>
            </w:r>
          </w:p>
        </w:tc>
        <w:tc>
          <w:tcPr>
            <w:tcW w:w="235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widowControl w:val="false"/>
              <w:jc w:val="center"/>
              <w:rPr>
                <w:rFonts w:eastAsia="Times New Roman"/>
                <w:sz w:val="24"/>
                <w:szCs w:val="24"/>
              </w:rPr>
            </w:pPr>
            <w:r>
              <w:rPr>
                <w:rFonts w:eastAsia="Times New Roman"/>
                <w:sz w:val="24"/>
                <w:szCs w:val="24"/>
              </w:rPr>
              <w:t>30 января 2021 г.</w:t>
            </w:r>
          </w:p>
          <w:p>
            <w:pPr>
              <w:pStyle w:val="Normal"/>
              <w:widowControl w:val="false"/>
              <w:jc w:val="center"/>
              <w:rPr>
                <w:rFonts w:eastAsia="Times New Roman"/>
                <w:sz w:val="24"/>
                <w:szCs w:val="24"/>
              </w:rPr>
            </w:pPr>
            <w:r>
              <w:rPr>
                <w:rFonts w:eastAsia="Times New Roman"/>
                <w:sz w:val="24"/>
                <w:szCs w:val="24"/>
              </w:rPr>
              <w:t>Рыжова О.А.</w:t>
            </w:r>
          </w:p>
          <w:p>
            <w:pPr>
              <w:pStyle w:val="Normal"/>
              <w:widowControl w:val="false"/>
              <w:jc w:val="center"/>
              <w:rPr>
                <w:rFonts w:eastAsia="Times New Roman"/>
                <w:sz w:val="24"/>
                <w:szCs w:val="24"/>
              </w:rPr>
            </w:pPr>
            <w:r>
              <w:rPr>
                <w:rFonts w:eastAsia="Times New Roman"/>
                <w:sz w:val="24"/>
                <w:szCs w:val="24"/>
              </w:rPr>
              <w:t>_____________</w:t>
            </w:r>
          </w:p>
        </w:tc>
        <w:tc>
          <w:tcPr>
            <w:tcW w:w="2206"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widowControl w:val="false"/>
              <w:jc w:val="center"/>
              <w:rPr>
                <w:rFonts w:eastAsia="Times New Roman"/>
                <w:sz w:val="24"/>
                <w:szCs w:val="24"/>
              </w:rPr>
            </w:pPr>
            <w:r>
              <w:rPr>
                <w:rFonts w:eastAsia="Times New Roman"/>
                <w:sz w:val="24"/>
                <w:szCs w:val="24"/>
              </w:rPr>
              <w:t>10 февраля 2021 г.</w:t>
            </w:r>
          </w:p>
          <w:p>
            <w:pPr>
              <w:pStyle w:val="Normal"/>
              <w:widowControl w:val="false"/>
              <w:jc w:val="center"/>
              <w:rPr>
                <w:rFonts w:eastAsia="Times New Roman"/>
                <w:sz w:val="24"/>
                <w:szCs w:val="24"/>
              </w:rPr>
            </w:pPr>
            <w:r>
              <w:rPr>
                <w:rFonts w:eastAsia="Times New Roman"/>
                <w:sz w:val="24"/>
                <w:szCs w:val="24"/>
              </w:rPr>
              <w:t>Рыжова О.А.</w:t>
            </w:r>
          </w:p>
          <w:p>
            <w:pPr>
              <w:pStyle w:val="Normal"/>
              <w:widowControl w:val="false"/>
              <w:jc w:val="center"/>
              <w:rPr>
                <w:rFonts w:eastAsia="Times New Roman"/>
                <w:sz w:val="24"/>
                <w:szCs w:val="24"/>
              </w:rPr>
            </w:pPr>
            <w:r>
              <w:rPr>
                <w:rFonts w:eastAsia="Times New Roman"/>
                <w:sz w:val="24"/>
                <w:szCs w:val="24"/>
              </w:rPr>
              <w:t>_____________</w:t>
            </w:r>
          </w:p>
        </w:tc>
      </w:tr>
    </w:tbl>
    <w:p>
      <w:pPr>
        <w:pStyle w:val="Normal"/>
        <w:spacing w:lineRule="auto" w:line="360" w:before="0" w:after="160"/>
        <w:rPr>
          <w:rFonts w:eastAsia="Calibri"/>
          <w:sz w:val="28"/>
          <w:szCs w:val="28"/>
          <w:lang w:eastAsia="en-US"/>
        </w:rPr>
      </w:pPr>
      <w:r>
        <w:rPr>
          <w:rFonts w:eastAsia="Calibri"/>
          <w:sz w:val="28"/>
          <w:szCs w:val="28"/>
          <w:lang w:eastAsia="en-US"/>
        </w:rPr>
      </w:r>
    </w:p>
    <w:p>
      <w:pPr>
        <w:sectPr>
          <w:footerReference w:type="default" r:id="rId2"/>
          <w:type w:val="nextPage"/>
          <w:pgSz w:w="11906" w:h="16838"/>
          <w:pgMar w:left="1701" w:right="850" w:header="0" w:top="1134" w:footer="720" w:bottom="1134" w:gutter="0"/>
          <w:pgNumType w:start="1" w:fmt="decimal"/>
          <w:formProt w:val="false"/>
          <w:textDirection w:val="lrTb"/>
          <w:docGrid w:type="default" w:linePitch="100" w:charSpace="4096"/>
        </w:sectPr>
        <w:pStyle w:val="Normal"/>
        <w:spacing w:lineRule="auto" w:line="360"/>
        <w:rPr>
          <w:rFonts w:eastAsia="Times New Roman"/>
          <w:bCs/>
          <w:sz w:val="28"/>
          <w:szCs w:val="28"/>
        </w:rPr>
      </w:pPr>
      <w:r>
        <w:rPr>
          <w:rFonts w:eastAsia="Times New Roman"/>
          <w:bCs/>
          <w:sz w:val="28"/>
          <w:szCs w:val="28"/>
        </w:rPr>
      </w:r>
    </w:p>
    <w:p>
      <w:pPr>
        <w:pStyle w:val="Normal"/>
        <w:spacing w:lineRule="auto" w:line="360"/>
        <w:jc w:val="center"/>
        <w:rPr>
          <w:b/>
          <w:b/>
          <w:sz w:val="28"/>
          <w:szCs w:val="28"/>
        </w:rPr>
      </w:pPr>
      <w:r>
        <w:rPr>
          <w:rFonts w:eastAsia="Times New Roman"/>
          <w:b/>
          <w:sz w:val="28"/>
          <w:szCs w:val="28"/>
        </w:rPr>
        <w:t>СОДЕРЖАНИЕ</w:t>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jc w:val="both"/>
        <w:rPr>
          <w:b/>
          <w:b/>
          <w:sz w:val="28"/>
          <w:szCs w:val="28"/>
        </w:rPr>
      </w:pPr>
      <w:r>
        <w:rPr>
          <w:rFonts w:eastAsia="Times New Roman"/>
          <w:b/>
          <w:sz w:val="28"/>
          <w:szCs w:val="28"/>
        </w:rPr>
        <w:t>ВВЕДЕНИЕ…………………………………………………………………………….5</w:t>
      </w:r>
    </w:p>
    <w:p>
      <w:pPr>
        <w:pStyle w:val="Normal"/>
        <w:spacing w:lineRule="auto" w:line="360"/>
        <w:ind w:firstLine="709"/>
        <w:jc w:val="both"/>
        <w:rPr>
          <w:b/>
          <w:b/>
          <w:sz w:val="28"/>
          <w:szCs w:val="28"/>
        </w:rPr>
      </w:pPr>
      <w:r>
        <w:rPr>
          <w:b/>
          <w:sz w:val="28"/>
          <w:szCs w:val="28"/>
        </w:rPr>
      </w:r>
    </w:p>
    <w:p>
      <w:pPr>
        <w:pStyle w:val="ListParagraph"/>
        <w:numPr>
          <w:ilvl w:val="0"/>
          <w:numId w:val="1"/>
        </w:numPr>
        <w:tabs>
          <w:tab w:val="clear" w:pos="720"/>
          <w:tab w:val="left" w:pos="540" w:leader="none"/>
        </w:tabs>
        <w:spacing w:lineRule="auto" w:line="360"/>
        <w:ind w:left="0" w:hanging="0"/>
        <w:jc w:val="both"/>
        <w:rPr>
          <w:rFonts w:eastAsia="Times New Roman"/>
          <w:sz w:val="28"/>
          <w:szCs w:val="28"/>
        </w:rPr>
      </w:pPr>
      <w:r>
        <w:rPr>
          <w:rFonts w:eastAsia="Times New Roman"/>
          <w:b/>
          <w:sz w:val="28"/>
          <w:szCs w:val="28"/>
        </w:rPr>
        <w:t>УГОЛОВНО-ПРАВОВАЯ ХАРАКТЕРИСТИКА УМЫШЛЕННОГО ПРИЧИНЕНИЯ ТЯЖКОГО ВРЕДА ЗДОРОВЬЮ</w:t>
      </w:r>
      <w:r>
        <w:rPr>
          <w:rFonts w:eastAsia="Times New Roman"/>
          <w:sz w:val="28"/>
          <w:szCs w:val="28"/>
        </w:rPr>
        <w:t xml:space="preserve">……………………………....7 </w:t>
      </w:r>
    </w:p>
    <w:p>
      <w:pPr>
        <w:pStyle w:val="ListParagraph"/>
        <w:tabs>
          <w:tab w:val="clear" w:pos="720"/>
          <w:tab w:val="left" w:pos="540" w:leader="none"/>
        </w:tabs>
        <w:spacing w:lineRule="auto" w:line="360"/>
        <w:ind w:left="0" w:hanging="0"/>
        <w:jc w:val="both"/>
        <w:rPr>
          <w:rFonts w:eastAsia="Times New Roman"/>
          <w:sz w:val="28"/>
          <w:szCs w:val="28"/>
        </w:rPr>
      </w:pPr>
      <w:r>
        <w:rPr>
          <w:rFonts w:eastAsia="Times New Roman"/>
          <w:sz w:val="28"/>
          <w:szCs w:val="28"/>
        </w:rPr>
        <w:t xml:space="preserve">      </w:t>
      </w:r>
      <w:r>
        <w:rPr>
          <w:rFonts w:eastAsia="Times New Roman"/>
          <w:sz w:val="28"/>
          <w:szCs w:val="28"/>
        </w:rPr>
        <w:t xml:space="preserve">1.1 Уголовно правовой анализ понятия «вред здоровью» ..…………………….7 </w:t>
      </w:r>
    </w:p>
    <w:p>
      <w:pPr>
        <w:pStyle w:val="ListParagraph"/>
        <w:tabs>
          <w:tab w:val="clear" w:pos="720"/>
          <w:tab w:val="left" w:pos="540" w:leader="none"/>
        </w:tabs>
        <w:spacing w:lineRule="auto" w:line="360"/>
        <w:ind w:left="0" w:hanging="0"/>
        <w:jc w:val="both"/>
        <w:rPr>
          <w:rFonts w:eastAsia="Times New Roman"/>
          <w:sz w:val="28"/>
          <w:szCs w:val="28"/>
        </w:rPr>
      </w:pPr>
      <w:r>
        <w:rPr>
          <w:rFonts w:eastAsia="Times New Roman"/>
          <w:sz w:val="28"/>
          <w:szCs w:val="28"/>
        </w:rPr>
        <w:t xml:space="preserve">      </w:t>
      </w:r>
      <w:r>
        <w:rPr>
          <w:rFonts w:eastAsia="Times New Roman"/>
          <w:sz w:val="28"/>
          <w:szCs w:val="28"/>
        </w:rPr>
        <w:t>1.2 Объективные  признаки  преступления,  предусмотренного  ст.  111  УК РФ………………………………………………………………………………………10</w:t>
      </w:r>
    </w:p>
    <w:p>
      <w:pPr>
        <w:pStyle w:val="Normal"/>
        <w:spacing w:lineRule="auto" w:line="360"/>
        <w:jc w:val="both"/>
        <w:rPr>
          <w:rFonts w:eastAsia="Times New Roman"/>
          <w:sz w:val="28"/>
          <w:szCs w:val="28"/>
        </w:rPr>
      </w:pPr>
      <w:r>
        <w:rPr>
          <w:rFonts w:eastAsia="Times New Roman"/>
          <w:sz w:val="28"/>
          <w:szCs w:val="28"/>
        </w:rPr>
        <w:t xml:space="preserve">      </w:t>
      </w:r>
      <w:r>
        <w:rPr>
          <w:rFonts w:eastAsia="Times New Roman"/>
          <w:sz w:val="28"/>
          <w:szCs w:val="28"/>
        </w:rPr>
        <w:t>1.3 Субъективные  признаки  преступления,  предусмотренного  ст.  111  УК РФ…………………………………………………………………..…………………..17</w:t>
      </w:r>
    </w:p>
    <w:p>
      <w:pPr>
        <w:pStyle w:val="Normal"/>
        <w:spacing w:lineRule="auto" w:line="360"/>
        <w:ind w:left="360" w:hanging="0"/>
        <w:jc w:val="both"/>
        <w:rPr>
          <w:rFonts w:eastAsia="Times New Roman"/>
          <w:sz w:val="28"/>
          <w:szCs w:val="28"/>
        </w:rPr>
      </w:pPr>
      <w:r>
        <w:rPr>
          <w:rFonts w:eastAsia="Times New Roman"/>
          <w:sz w:val="28"/>
          <w:szCs w:val="28"/>
        </w:rPr>
        <w:t xml:space="preserve"> </w:t>
      </w:r>
      <w:r>
        <w:rPr>
          <w:rFonts w:eastAsia="Times New Roman"/>
          <w:sz w:val="28"/>
          <w:szCs w:val="28"/>
        </w:rPr>
        <w:t>1.4 Квалифицирующие признаки I, II и III степени ст. 111 УК РФ …………..23</w:t>
      </w:r>
    </w:p>
    <w:p>
      <w:pPr>
        <w:pStyle w:val="Normal"/>
        <w:spacing w:lineRule="auto" w:line="360"/>
        <w:ind w:firstLine="709"/>
        <w:jc w:val="both"/>
        <w:rPr>
          <w:rFonts w:eastAsia="Times New Roman"/>
          <w:sz w:val="28"/>
          <w:szCs w:val="28"/>
        </w:rPr>
      </w:pPr>
      <w:r>
        <w:rPr>
          <w:rFonts w:eastAsia="Times New Roman"/>
          <w:sz w:val="28"/>
          <w:szCs w:val="28"/>
        </w:rPr>
      </w:r>
    </w:p>
    <w:p>
      <w:pPr>
        <w:pStyle w:val="Normal"/>
        <w:tabs>
          <w:tab w:val="clear" w:pos="720"/>
          <w:tab w:val="left" w:pos="492" w:leader="none"/>
        </w:tabs>
        <w:spacing w:lineRule="auto" w:line="360"/>
        <w:jc w:val="both"/>
        <w:rPr>
          <w:rFonts w:eastAsia="Times New Roman"/>
          <w:sz w:val="28"/>
          <w:szCs w:val="28"/>
        </w:rPr>
      </w:pPr>
      <w:r>
        <w:rPr>
          <w:rFonts w:eastAsia="Times New Roman"/>
          <w:b/>
          <w:sz w:val="28"/>
          <w:szCs w:val="28"/>
        </w:rPr>
        <w:t>2</w:t>
      </w:r>
      <w:r>
        <w:rPr>
          <w:rFonts w:eastAsia="Times New Roman"/>
          <w:sz w:val="28"/>
          <w:szCs w:val="28"/>
        </w:rPr>
        <w:t xml:space="preserve"> </w:t>
      </w:r>
      <w:r>
        <w:rPr>
          <w:rFonts w:eastAsia="Times New Roman"/>
          <w:b/>
          <w:sz w:val="28"/>
          <w:szCs w:val="28"/>
        </w:rPr>
        <w:t>ОТГРАНИЧЕНИЕ ПРИЧИНЕНИЯ ВРЕДА ЗДОРОВЬЮ ОТ СМЕЖНЫХ СОСТАВОВ ПРЕСТУПЛЕНИЙ</w:t>
      </w:r>
      <w:r>
        <w:rPr>
          <w:rFonts w:eastAsia="Times New Roman"/>
          <w:sz w:val="28"/>
          <w:szCs w:val="28"/>
        </w:rPr>
        <w:t xml:space="preserve"> …………………………………………….……34</w:t>
      </w:r>
    </w:p>
    <w:p>
      <w:pPr>
        <w:pStyle w:val="Normal"/>
        <w:spacing w:lineRule="auto" w:line="360"/>
        <w:ind w:firstLine="709"/>
        <w:jc w:val="both"/>
        <w:rPr>
          <w:sz w:val="28"/>
          <w:szCs w:val="28"/>
        </w:rPr>
      </w:pPr>
      <w:r>
        <w:rPr>
          <w:sz w:val="28"/>
          <w:szCs w:val="28"/>
        </w:rPr>
      </w:r>
    </w:p>
    <w:p>
      <w:pPr>
        <w:pStyle w:val="Normal"/>
        <w:spacing w:lineRule="auto" w:line="360"/>
        <w:jc w:val="both"/>
        <w:rPr>
          <w:b/>
          <w:b/>
          <w:sz w:val="28"/>
          <w:szCs w:val="28"/>
        </w:rPr>
      </w:pPr>
      <w:r>
        <w:rPr>
          <w:rFonts w:eastAsia="Times New Roman"/>
          <w:b/>
          <w:sz w:val="28"/>
          <w:szCs w:val="28"/>
        </w:rPr>
        <w:t>ЗАКЛЮЧЕНИЕ……………………………………………………………………...44</w:t>
      </w:r>
    </w:p>
    <w:p>
      <w:pPr>
        <w:pStyle w:val="Normal"/>
        <w:spacing w:lineRule="auto" w:line="360"/>
        <w:jc w:val="both"/>
        <w:rPr>
          <w:b/>
          <w:b/>
          <w:sz w:val="28"/>
          <w:szCs w:val="28"/>
        </w:rPr>
      </w:pPr>
      <w:r>
        <w:rPr>
          <w:rFonts w:eastAsia="Times New Roman"/>
          <w:b/>
          <w:sz w:val="28"/>
          <w:szCs w:val="28"/>
        </w:rPr>
        <w:t>СПИСОК ИСПОЛЬЗОВАННЫХ ИСТОЧНИКОВ</w:t>
      </w:r>
      <w:r>
        <w:rPr>
          <w:rFonts w:eastAsia="Times New Roman"/>
          <w:sz w:val="28"/>
          <w:szCs w:val="28"/>
        </w:rPr>
        <w:t xml:space="preserve"> </w:t>
      </w:r>
      <w:r>
        <w:rPr>
          <w:rFonts w:eastAsia="Times New Roman"/>
          <w:b/>
          <w:sz w:val="28"/>
          <w:szCs w:val="28"/>
        </w:rPr>
        <w:t>……………………………47</w:t>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sectPr>
          <w:footerReference w:type="default" r:id="rId3"/>
          <w:type w:val="nextPage"/>
          <w:pgSz w:w="11906" w:h="16838"/>
          <w:pgMar w:left="1440" w:right="566" w:header="0" w:top="1125" w:footer="0" w:bottom="392" w:gutter="0"/>
          <w:pgNumType w:fmt="decimal"/>
          <w:formProt w:val="false"/>
          <w:textDirection w:val="lrTb"/>
          <w:docGrid w:type="default" w:linePitch="100" w:charSpace="4096"/>
        </w:sectPr>
        <w:pStyle w:val="Normal"/>
        <w:spacing w:lineRule="auto" w:line="360"/>
        <w:ind w:firstLine="709"/>
        <w:jc w:val="both"/>
        <w:rPr>
          <w:sz w:val="28"/>
          <w:szCs w:val="28"/>
        </w:rPr>
      </w:pPr>
      <w:r>
        <w:rPr>
          <w:sz w:val="28"/>
          <w:szCs w:val="28"/>
        </w:rPr>
      </w:r>
    </w:p>
    <w:p>
      <w:pPr>
        <w:pStyle w:val="Normal"/>
        <w:spacing w:lineRule="auto" w:line="360"/>
        <w:jc w:val="center"/>
        <w:rPr>
          <w:b/>
          <w:b/>
          <w:sz w:val="28"/>
          <w:szCs w:val="28"/>
        </w:rPr>
      </w:pPr>
      <w:r>
        <w:rPr>
          <w:rFonts w:eastAsia="Times New Roman"/>
          <w:b/>
          <w:sz w:val="28"/>
          <w:szCs w:val="28"/>
        </w:rPr>
        <w:t>ВВЕДЕНИЕ</w:t>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rFonts w:eastAsia="Times New Roman"/>
          <w:sz w:val="28"/>
          <w:szCs w:val="28"/>
        </w:rPr>
        <w:t>В последние десятилетия весомое место в общей структуре преступности в России занимают преступления против здоровья человека. Поэтому уровень и динамика данных уголовно-наказуемых деяний представляет особый интерес как для ученых-теоретиков, занимающихся прогнозированием развития криминальной ситуации, так и для практиков, непосредственно занимающихся профилактикой, предупреждением и пресечением данного рода уголовных посягательств.</w:t>
      </w:r>
    </w:p>
    <w:p>
      <w:pPr>
        <w:pStyle w:val="Normal"/>
        <w:spacing w:lineRule="auto" w:line="360"/>
        <w:ind w:firstLine="709"/>
        <w:jc w:val="both"/>
        <w:rPr>
          <w:rFonts w:eastAsia="Times New Roman"/>
          <w:sz w:val="28"/>
          <w:szCs w:val="28"/>
        </w:rPr>
      </w:pPr>
      <w:r>
        <w:rPr>
          <w:rFonts w:eastAsia="Times New Roman"/>
          <w:sz w:val="28"/>
          <w:szCs w:val="28"/>
        </w:rPr>
        <w:t xml:space="preserve">Среди преступлений против здоровья человека одним из самых опасных и распространенных преступлений выступает умышленное причинение тяжкого вреда здоровью, предусмотренное ст. 111 УК РФ. Данный вид уголовного посягательства является достаточно сложным для юридического анализа. Правоохранительные структуры, расследующие дела данной категории, зачастую встречаются со сложностями в квалификации указанного деяния, при установлении причинной связи между совершенным противоправным деянием и наступившими в результате этого последствиями, при определении способа совершения преступления, при установлении вины преступника. </w:t>
      </w:r>
    </w:p>
    <w:p>
      <w:pPr>
        <w:pStyle w:val="Normal"/>
        <w:spacing w:lineRule="auto" w:line="360"/>
        <w:ind w:firstLine="709"/>
        <w:jc w:val="both"/>
        <w:rPr>
          <w:rFonts w:eastAsia="Times New Roman"/>
          <w:sz w:val="28"/>
          <w:szCs w:val="28"/>
        </w:rPr>
      </w:pPr>
      <w:r>
        <w:rPr>
          <w:rFonts w:eastAsia="Times New Roman"/>
          <w:sz w:val="28"/>
          <w:szCs w:val="28"/>
        </w:rPr>
        <w:t>Несмотря на то, что анализ статистических данных МВД РФ о состоянии преступности в Российской Федерации за 2020 год свидетельствует о снижении числа зарегистрированных умышленных причинений тяжкого вреда здоровью на 6,7%</w:t>
      </w:r>
      <w:r>
        <w:rPr>
          <w:rStyle w:val="FootnoteCharacters"/>
          <w:rStyle w:val="Style16"/>
          <w:rFonts w:eastAsia="Times New Roman"/>
          <w:sz w:val="28"/>
          <w:szCs w:val="28"/>
        </w:rPr>
        <w:footnoteReference w:id="2"/>
      </w:r>
      <w:r>
        <w:rPr>
          <w:rFonts w:eastAsia="Times New Roman"/>
          <w:sz w:val="28"/>
          <w:szCs w:val="28"/>
        </w:rPr>
        <w:t xml:space="preserve"> по сравнению с прошлым годом, это не означает, что данный вид преступлений сходит на нет. Анализ статистических данных Судебного департамента при Верховном суде РФ показал, что число осужденных по ч. 1 ст. 111 УК РФ за 1 полугодие 2020 г. составило 1454 чел., ч. 2 – 3955, ч. 3 – 238, ч. 4 ст. – 1462 чел</w:t>
      </w:r>
      <w:r>
        <w:rPr>
          <w:rStyle w:val="FootnoteCharacters"/>
          <w:rStyle w:val="Style16"/>
          <w:rFonts w:eastAsia="Times New Roman"/>
          <w:sz w:val="28"/>
          <w:szCs w:val="28"/>
        </w:rPr>
        <w:footnoteReference w:id="3"/>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Отмеченные обстоятельства обусловливают актуальность темы выпускной квалификационной работы.</w:t>
      </w:r>
    </w:p>
    <w:p>
      <w:pPr>
        <w:pStyle w:val="Normal"/>
        <w:spacing w:lineRule="auto" w:line="360"/>
        <w:ind w:firstLine="709"/>
        <w:jc w:val="both"/>
        <w:rPr>
          <w:rFonts w:eastAsia="Times New Roman"/>
          <w:sz w:val="28"/>
          <w:szCs w:val="28"/>
        </w:rPr>
      </w:pPr>
      <w:r>
        <w:rPr>
          <w:rFonts w:eastAsia="Times New Roman"/>
          <w:sz w:val="28"/>
          <w:szCs w:val="28"/>
        </w:rPr>
        <w:t>Объектом данного исследования являются общественные отношения в области охраны здоровья человека и применения законодательства об уголовной ответственности за умышленное причинение тяжкого вреда здоровью.</w:t>
      </w:r>
    </w:p>
    <w:p>
      <w:pPr>
        <w:pStyle w:val="Normal"/>
        <w:spacing w:lineRule="auto" w:line="360"/>
        <w:ind w:firstLine="709"/>
        <w:jc w:val="both"/>
        <w:rPr>
          <w:sz w:val="28"/>
          <w:szCs w:val="28"/>
        </w:rPr>
      </w:pPr>
      <w:r>
        <w:rPr>
          <w:rFonts w:eastAsia="Times New Roman"/>
          <w:sz w:val="28"/>
          <w:szCs w:val="28"/>
        </w:rPr>
        <w:t>Предмет исследования – уголовно-правовое регулирование ответственности за умышленное причинение тяжкого вреда здоровью.</w:t>
      </w:r>
    </w:p>
    <w:p>
      <w:pPr>
        <w:pStyle w:val="Normal"/>
        <w:spacing w:lineRule="auto" w:line="360"/>
        <w:ind w:firstLine="709"/>
        <w:jc w:val="both"/>
        <w:rPr>
          <w:sz w:val="28"/>
          <w:szCs w:val="28"/>
        </w:rPr>
      </w:pPr>
      <w:r>
        <w:rPr>
          <w:rFonts w:eastAsia="Times New Roman"/>
          <w:sz w:val="28"/>
          <w:szCs w:val="28"/>
        </w:rPr>
        <w:t>Целью работы является детальное рассмотрение, изучение  и уголовно-правовой анализ преступления, предусмотренного ст. 111 УК РФ, а также практических проблем при квалификации и отграничения от смежных составов.</w:t>
      </w:r>
    </w:p>
    <w:p>
      <w:pPr>
        <w:pStyle w:val="Normal"/>
        <w:spacing w:lineRule="auto" w:line="360"/>
        <w:ind w:firstLine="709"/>
        <w:jc w:val="both"/>
        <w:rPr>
          <w:rFonts w:eastAsia="Times New Roman"/>
          <w:sz w:val="28"/>
          <w:szCs w:val="28"/>
        </w:rPr>
      </w:pPr>
      <w:r>
        <w:rPr>
          <w:rFonts w:eastAsia="Times New Roman"/>
          <w:sz w:val="28"/>
          <w:szCs w:val="28"/>
        </w:rPr>
        <w:t>Для достижения указанных целей поставлены следующие задачи:</w:t>
      </w:r>
    </w:p>
    <w:p>
      <w:pPr>
        <w:pStyle w:val="Normal"/>
        <w:spacing w:lineRule="auto" w:line="360"/>
        <w:ind w:firstLine="709"/>
        <w:jc w:val="both"/>
        <w:rPr>
          <w:sz w:val="28"/>
          <w:szCs w:val="28"/>
        </w:rPr>
      </w:pPr>
      <w:r>
        <w:rPr>
          <w:rFonts w:eastAsia="Times New Roman"/>
          <w:sz w:val="28"/>
          <w:szCs w:val="28"/>
        </w:rPr>
        <w:t>- определить понятия «вред здоровью»;</w:t>
      </w:r>
    </w:p>
    <w:p>
      <w:pPr>
        <w:pStyle w:val="Normal"/>
        <w:spacing w:lineRule="auto" w:line="360"/>
        <w:ind w:firstLine="709"/>
        <w:jc w:val="both"/>
        <w:rPr>
          <w:sz w:val="28"/>
          <w:szCs w:val="28"/>
        </w:rPr>
      </w:pPr>
      <w:r>
        <w:rPr>
          <w:rFonts w:eastAsia="Times New Roman"/>
          <w:sz w:val="28"/>
          <w:szCs w:val="28"/>
        </w:rPr>
        <w:t>- проанализировать объективные и субъективные признаки преступления, предусмотренного ст. 111 УК РФ;</w:t>
      </w:r>
    </w:p>
    <w:p>
      <w:pPr>
        <w:pStyle w:val="Normal"/>
        <w:spacing w:lineRule="auto" w:line="360"/>
        <w:ind w:firstLine="709"/>
        <w:jc w:val="both"/>
        <w:rPr>
          <w:sz w:val="28"/>
          <w:szCs w:val="28"/>
        </w:rPr>
      </w:pPr>
      <w:r>
        <w:rPr>
          <w:rFonts w:eastAsia="Times New Roman"/>
          <w:sz w:val="28"/>
          <w:szCs w:val="28"/>
        </w:rPr>
        <w:t>- изучить квалифицирующие признаки I, II и III степеней ст. 111 УК РФ;</w:t>
      </w:r>
    </w:p>
    <w:p>
      <w:pPr>
        <w:pStyle w:val="Normal"/>
        <w:spacing w:lineRule="auto" w:line="360"/>
        <w:ind w:firstLine="709"/>
        <w:jc w:val="both"/>
        <w:rPr>
          <w:sz w:val="28"/>
          <w:szCs w:val="28"/>
        </w:rPr>
      </w:pPr>
      <w:r>
        <w:rPr>
          <w:rFonts w:eastAsia="Times New Roman"/>
          <w:sz w:val="28"/>
          <w:szCs w:val="28"/>
        </w:rPr>
        <w:t>- отграничить ст. 111 УК РФ от смежных составов преступлений;</w:t>
      </w:r>
    </w:p>
    <w:p>
      <w:pPr>
        <w:pStyle w:val="Normal"/>
        <w:spacing w:lineRule="auto" w:line="360"/>
        <w:ind w:firstLine="709"/>
        <w:jc w:val="both"/>
        <w:rPr>
          <w:rFonts w:eastAsia="Times New Roman"/>
          <w:sz w:val="28"/>
          <w:szCs w:val="28"/>
        </w:rPr>
      </w:pPr>
      <w:r>
        <w:rPr>
          <w:rFonts w:eastAsia="Times New Roman"/>
          <w:sz w:val="28"/>
          <w:szCs w:val="28"/>
        </w:rPr>
        <w:t>- разработать предложения по совершенствованию уголовного законодательства относительно применения нормы об умышленном причинении тяжкого вреда здоровью.</w:t>
      </w:r>
    </w:p>
    <w:p>
      <w:pPr>
        <w:pStyle w:val="Normal"/>
        <w:spacing w:lineRule="auto" w:line="360"/>
        <w:ind w:firstLine="709"/>
        <w:jc w:val="both"/>
        <w:rPr>
          <w:sz w:val="28"/>
          <w:szCs w:val="28"/>
        </w:rPr>
      </w:pPr>
      <w:r>
        <w:rPr>
          <w:rFonts w:eastAsia="Times New Roman"/>
          <w:sz w:val="28"/>
          <w:szCs w:val="28"/>
        </w:rPr>
        <w:t>Методологической основой исследования является сочетание общенаучных методов и частных методов научного познания, а именно анализ и синтез, сравнительно-правовой и формально-юридический, системно-структурный и статистический методы исследования.</w:t>
      </w:r>
    </w:p>
    <w:p>
      <w:pPr>
        <w:pStyle w:val="Normal"/>
        <w:spacing w:lineRule="auto" w:line="360"/>
        <w:ind w:firstLine="709"/>
        <w:jc w:val="both"/>
        <w:rPr>
          <w:sz w:val="28"/>
          <w:szCs w:val="28"/>
        </w:rPr>
      </w:pPr>
      <w:r>
        <w:rPr>
          <w:rFonts w:eastAsia="Times New Roman"/>
          <w:sz w:val="28"/>
          <w:szCs w:val="28"/>
        </w:rPr>
        <w:t>Теоретическую основу данной работы составили труды Г. Борзенкова, В. Векленко, М. Галюковой, В.И. Зубковой, А.И. Коробеева, Я.А. Кружковой, С.В. Расторопова и др.</w:t>
      </w:r>
    </w:p>
    <w:p>
      <w:pPr>
        <w:sectPr>
          <w:footerReference w:type="default" r:id="rId4"/>
          <w:footnotePr>
            <w:numFmt w:val="decimal"/>
            <w:numRestart w:val="eachPage"/>
          </w:footnotePr>
          <w:type w:val="nextPage"/>
          <w:pgSz w:w="11906" w:h="16838"/>
          <w:pgMar w:left="1440" w:right="566" w:header="0" w:top="1125" w:footer="0" w:bottom="392" w:gutter="0"/>
          <w:pgNumType w:fmt="decimal"/>
          <w:formProt w:val="false"/>
          <w:textDirection w:val="lrTb"/>
          <w:docGrid w:type="default" w:linePitch="100" w:charSpace="4096"/>
        </w:sectPr>
        <w:pStyle w:val="Normal"/>
        <w:spacing w:lineRule="auto" w:line="360"/>
        <w:ind w:firstLine="709"/>
        <w:jc w:val="both"/>
        <w:rPr>
          <w:sz w:val="28"/>
          <w:szCs w:val="28"/>
        </w:rPr>
      </w:pPr>
      <w:r>
        <w:rPr>
          <w:rFonts w:eastAsia="Times New Roman"/>
          <w:sz w:val="28"/>
          <w:szCs w:val="28"/>
        </w:rPr>
        <w:t>Структура работы представлена введением, двумя главами, заключением, а также списком использованных источников.</w:t>
      </w:r>
    </w:p>
    <w:p>
      <w:pPr>
        <w:pStyle w:val="Normal"/>
        <w:spacing w:lineRule="auto" w:line="360"/>
        <w:jc w:val="center"/>
        <w:rPr>
          <w:sz w:val="28"/>
          <w:szCs w:val="28"/>
        </w:rPr>
      </w:pPr>
      <w:r>
        <w:rPr>
          <w:rFonts w:eastAsia="Times New Roman"/>
          <w:b/>
          <w:sz w:val="28"/>
          <w:szCs w:val="28"/>
        </w:rPr>
        <w:t>1 УГОЛОВНО-ПРАВОВАЯ ХАРАКТЕРИСТИКА УМЫШЛЕННОГО ПРИЧИНЕНИЯ ТЯЖКОГО ВРЕДА ЗДОРОВЬЮ</w:t>
      </w:r>
    </w:p>
    <w:p>
      <w:pPr>
        <w:pStyle w:val="Normal"/>
        <w:spacing w:lineRule="auto" w:line="360"/>
        <w:ind w:firstLine="709"/>
        <w:jc w:val="both"/>
        <w:rPr>
          <w:rFonts w:eastAsia="Times New Roman"/>
          <w:sz w:val="28"/>
          <w:szCs w:val="28"/>
        </w:rPr>
      </w:pPr>
      <w:r>
        <w:rPr>
          <w:rFonts w:eastAsia="Times New Roman"/>
          <w:sz w:val="28"/>
          <w:szCs w:val="28"/>
        </w:rPr>
      </w:r>
    </w:p>
    <w:p>
      <w:pPr>
        <w:pStyle w:val="ListParagraph"/>
        <w:numPr>
          <w:ilvl w:val="1"/>
          <w:numId w:val="2"/>
        </w:numPr>
        <w:spacing w:lineRule="auto" w:line="360"/>
        <w:jc w:val="center"/>
        <w:rPr>
          <w:sz w:val="28"/>
          <w:szCs w:val="28"/>
        </w:rPr>
      </w:pPr>
      <w:r>
        <w:rPr>
          <w:rFonts w:eastAsia="Times New Roman"/>
          <w:b/>
          <w:sz w:val="28"/>
          <w:szCs w:val="28"/>
        </w:rPr>
        <w:t>Уголовно правовой анализ понятия «вред здоровью»</w:t>
      </w:r>
    </w:p>
    <w:p>
      <w:pPr>
        <w:pStyle w:val="Normal"/>
        <w:spacing w:lineRule="auto" w:line="360"/>
        <w:ind w:firstLine="709"/>
        <w:jc w:val="both"/>
        <w:rPr>
          <w:sz w:val="28"/>
          <w:szCs w:val="28"/>
        </w:rPr>
      </w:pPr>
      <w:r>
        <w:rPr>
          <w:sz w:val="28"/>
          <w:szCs w:val="28"/>
        </w:rPr>
      </w:r>
    </w:p>
    <w:p>
      <w:pPr>
        <w:pStyle w:val="Normal"/>
        <w:tabs>
          <w:tab w:val="clear" w:pos="720"/>
          <w:tab w:val="left" w:pos="1328" w:leader="none"/>
        </w:tabs>
        <w:spacing w:lineRule="auto" w:line="360"/>
        <w:ind w:firstLine="709"/>
        <w:jc w:val="both"/>
        <w:rPr>
          <w:rFonts w:eastAsia="Times New Roman"/>
          <w:sz w:val="28"/>
          <w:szCs w:val="28"/>
        </w:rPr>
      </w:pPr>
      <w:r>
        <w:rPr>
          <w:rFonts w:eastAsia="Times New Roman"/>
          <w:sz w:val="28"/>
          <w:szCs w:val="28"/>
        </w:rPr>
        <w:t>Термин «вред здоровью» в уголовном законодательстве Российской Федерации был введен законодателем в 1996 г. Несмотря на то, что данное понятие существует несколько десятилетий, вокруг его понимания и сущности ведутся многочисленные дискуссии. Это обусловлено сложностью и многозначностью  понятия «здоровье».</w:t>
      </w:r>
    </w:p>
    <w:p>
      <w:pPr>
        <w:pStyle w:val="Normal"/>
        <w:tabs>
          <w:tab w:val="clear" w:pos="720"/>
          <w:tab w:val="left" w:pos="1328" w:leader="none"/>
        </w:tabs>
        <w:spacing w:lineRule="auto" w:line="360"/>
        <w:ind w:firstLine="709"/>
        <w:jc w:val="both"/>
        <w:rPr>
          <w:rFonts w:eastAsia="Times New Roman"/>
          <w:sz w:val="28"/>
          <w:szCs w:val="28"/>
        </w:rPr>
      </w:pPr>
      <w:r>
        <w:rPr>
          <w:rFonts w:eastAsia="Times New Roman"/>
          <w:sz w:val="28"/>
          <w:szCs w:val="28"/>
        </w:rPr>
        <w:t>Если обратиться к нормативному определению данного понятия, то в преамбуле устава ВОЗ можно увидеть следующее определение:  «Здоровье – это состояние полного физического, душевного и социального благополучия, а не только отсутствие болезней или физических дефектов»</w:t>
      </w:r>
      <w:r>
        <w:rPr>
          <w:rStyle w:val="FootnoteCharacters"/>
          <w:rStyle w:val="Style16"/>
          <w:rFonts w:eastAsia="Times New Roman"/>
          <w:sz w:val="28"/>
          <w:szCs w:val="28"/>
        </w:rPr>
        <w:footnoteReference w:id="4"/>
      </w:r>
      <w:r>
        <w:rPr>
          <w:rFonts w:eastAsia="Times New Roman"/>
          <w:sz w:val="28"/>
          <w:szCs w:val="28"/>
        </w:rPr>
        <w:t>.</w:t>
      </w:r>
    </w:p>
    <w:p>
      <w:pPr>
        <w:pStyle w:val="Normal"/>
        <w:tabs>
          <w:tab w:val="clear" w:pos="720"/>
          <w:tab w:val="left" w:pos="1328" w:leader="none"/>
        </w:tabs>
        <w:spacing w:lineRule="auto" w:line="360"/>
        <w:ind w:firstLine="709"/>
        <w:jc w:val="both"/>
        <w:rPr>
          <w:sz w:val="28"/>
          <w:szCs w:val="28"/>
        </w:rPr>
      </w:pPr>
      <w:r>
        <w:rPr>
          <w:rFonts w:eastAsia="Times New Roman"/>
          <w:sz w:val="28"/>
          <w:szCs w:val="28"/>
        </w:rPr>
        <w:t>Понятие «вред здоровью» является междисциплинарной дефиницией. Помимо уголовного права, данное понятие фигурирует в судебной медицине и др. медицинских науках. Под вредом как таковым согласно п. 5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 № 194 понимается «нарушение анатомической целостности и физиологической функции органов и тканей человека в результате воздействия физических, химических, биологических и психогенных факторов внешней среды».</w:t>
      </w:r>
    </w:p>
    <w:p>
      <w:pPr>
        <w:pStyle w:val="Normal"/>
        <w:spacing w:lineRule="auto" w:line="360"/>
        <w:ind w:firstLine="709"/>
        <w:jc w:val="both"/>
        <w:rPr>
          <w:rFonts w:eastAsia="Times New Roman"/>
          <w:sz w:val="28"/>
          <w:szCs w:val="28"/>
        </w:rPr>
      </w:pPr>
      <w:r>
        <w:rPr>
          <w:rFonts w:eastAsia="Times New Roman"/>
          <w:sz w:val="28"/>
          <w:szCs w:val="28"/>
        </w:rPr>
        <w:t xml:space="preserve">Понятие «вред здоровью» содержит количественную и качественную составляющие. Количественная характеристика определяет тяжесть вреда здоровью (тяжкий, средний, легкий), а качественная характеристика -  характер причиненного вреда здоровью, т.е. форму причинения вреда (например, телесное повреждение, заболевание, патологическое состояние, физическая боль и т.д.). </w:t>
      </w:r>
    </w:p>
    <w:p>
      <w:pPr>
        <w:pStyle w:val="Normal"/>
        <w:spacing w:lineRule="auto" w:line="360"/>
        <w:ind w:firstLine="709"/>
        <w:jc w:val="both"/>
        <w:rPr>
          <w:sz w:val="28"/>
          <w:szCs w:val="28"/>
        </w:rPr>
      </w:pPr>
      <w:r>
        <w:rPr>
          <w:rFonts w:eastAsia="Times New Roman"/>
          <w:sz w:val="28"/>
          <w:szCs w:val="28"/>
        </w:rPr>
        <w:t xml:space="preserve">В дальнейшем в рамках темы выпускной квалификационной работы нами будет охарактеризована преимущественно одна форма причинения вреда - телесное повреждение, поскольку именно такой характер причинения вреда здоровью влечет наступление уголовной ответственности по главе 16 УК РФ. </w:t>
      </w:r>
    </w:p>
    <w:p>
      <w:pPr>
        <w:pStyle w:val="Normal"/>
        <w:spacing w:lineRule="auto" w:line="360"/>
        <w:ind w:firstLine="709"/>
        <w:jc w:val="both"/>
        <w:rPr>
          <w:sz w:val="28"/>
          <w:szCs w:val="28"/>
        </w:rPr>
      </w:pPr>
      <w:r>
        <w:rPr>
          <w:rFonts w:eastAsia="Times New Roman"/>
          <w:sz w:val="28"/>
          <w:szCs w:val="28"/>
        </w:rPr>
        <w:t>Под телесным повреждением понимается такой вред здоровью человека, который наступает в результате нарушения анатомической целостности тела или нарушения нормального функционирования организма либо его органов.</w:t>
      </w:r>
    </w:p>
    <w:p>
      <w:pPr>
        <w:pStyle w:val="Normal"/>
        <w:spacing w:lineRule="auto" w:line="360"/>
        <w:ind w:firstLine="709"/>
        <w:jc w:val="both"/>
        <w:rPr>
          <w:sz w:val="28"/>
          <w:szCs w:val="28"/>
        </w:rPr>
      </w:pPr>
      <w:r>
        <w:rPr>
          <w:rFonts w:eastAsia="Times New Roman"/>
          <w:sz w:val="28"/>
          <w:szCs w:val="28"/>
        </w:rPr>
        <w:t>Ранее на практике достаточно распространенным было обозначение данным термином всех видов насильственного причинения вреда здоровью человека, что вызвало со стороны ученых судебно-медицинской и юридической науки обоснованную критику. Действительно, сейчас сложно согласиться с мнением, согласно которому понятие телесного повреждения включает в себя мимолетную бесследно проходящую физическую боль</w:t>
      </w:r>
      <w:r>
        <w:rPr>
          <w:rStyle w:val="FootnoteCharacters"/>
          <w:rStyle w:val="Style16"/>
          <w:rFonts w:eastAsia="Times New Roman"/>
          <w:sz w:val="28"/>
          <w:szCs w:val="28"/>
        </w:rPr>
        <w:footnoteReference w:id="5"/>
      </w:r>
      <w:r>
        <w:rPr>
          <w:rFonts w:eastAsia="Times New Roman"/>
          <w:sz w:val="28"/>
          <w:szCs w:val="28"/>
        </w:rPr>
        <w:t>.</w:t>
      </w:r>
    </w:p>
    <w:p>
      <w:pPr>
        <w:pStyle w:val="Normal"/>
        <w:spacing w:lineRule="auto" w:line="360"/>
        <w:ind w:firstLine="709"/>
        <w:jc w:val="both"/>
        <w:rPr>
          <w:sz w:val="28"/>
          <w:szCs w:val="28"/>
        </w:rPr>
      </w:pPr>
      <w:r>
        <w:rPr>
          <w:rFonts w:eastAsia="Times New Roman"/>
          <w:sz w:val="28"/>
          <w:szCs w:val="28"/>
        </w:rPr>
        <w:t>По справедливому замечанию В.К. Жукова сущность телесного повреждения заключается в причинении именно ощутимого вреда здоровья, который приводит к стойкому расстройству здоровья</w:t>
      </w:r>
      <w:r>
        <w:rPr>
          <w:rStyle w:val="FootnoteCharacters"/>
          <w:rStyle w:val="Style16"/>
          <w:rFonts w:eastAsia="Times New Roman"/>
          <w:sz w:val="28"/>
          <w:szCs w:val="28"/>
        </w:rPr>
        <w:footnoteReference w:id="6"/>
      </w:r>
      <w:r>
        <w:rPr>
          <w:rFonts w:eastAsia="Times New Roman"/>
          <w:sz w:val="28"/>
          <w:szCs w:val="28"/>
        </w:rPr>
        <w:t>. Поэтому причинение телесного повреждения – это уголовное преступление, представляющее собой противоправное причинение вреда здоровью другого лица, выразившееся в нарушении нормального функционирования тканей или органов человеческого тела. Подобная трактовка имеет определенные достоинства, которые заключаются во включении в понятие юридических и медицинских признаков, относящихся ко всем телесным повреждениям.</w:t>
      </w:r>
    </w:p>
    <w:p>
      <w:pPr>
        <w:pStyle w:val="Normal"/>
        <w:spacing w:lineRule="auto" w:line="360"/>
        <w:ind w:firstLine="709"/>
        <w:jc w:val="both"/>
        <w:rPr>
          <w:sz w:val="28"/>
          <w:szCs w:val="28"/>
        </w:rPr>
      </w:pPr>
      <w:r>
        <w:rPr>
          <w:rFonts w:eastAsia="Times New Roman"/>
          <w:sz w:val="28"/>
          <w:szCs w:val="28"/>
        </w:rPr>
        <w:t>При характеристике понятия «телесное повреждение» важно отметить, что данное понятие имеет отношение к телу - физической или соматической составляющей человека, не приведшим к нарушениям со стороны психики. Хотя данное мнение весьма спорно, поскольку любое телесное повреждение так или иначе отражается на психике человека. Однако с юридической точки зрения следует уже говорить о  другом термине «заболевание».</w:t>
      </w:r>
    </w:p>
    <w:p>
      <w:pPr>
        <w:pStyle w:val="Normal"/>
        <w:spacing w:lineRule="auto" w:line="360"/>
        <w:ind w:firstLine="709"/>
        <w:jc w:val="both"/>
        <w:rPr>
          <w:rFonts w:eastAsia="Times New Roman"/>
          <w:sz w:val="28"/>
          <w:szCs w:val="28"/>
        </w:rPr>
      </w:pPr>
      <w:r>
        <w:rPr>
          <w:rFonts w:eastAsia="Times New Roman"/>
          <w:sz w:val="28"/>
          <w:szCs w:val="28"/>
        </w:rPr>
        <w:t xml:space="preserve">В отличие от телесного повреждения заболевание вызывается механическим, физическим, химическим, биологическим, психическим факторами внешней среды и проявляются в виде полной или частичной утраты органами или тканями способности нормально функционировать либо в нарушении жизнедеятельности всего организма. Уголовный закон к числу заболеваний относит наркоманию, токсикоманию, психическое расстройство, венерическую болезнь, ВИЧ-инфекцию. </w:t>
      </w:r>
    </w:p>
    <w:p>
      <w:pPr>
        <w:pStyle w:val="Normal"/>
        <w:spacing w:lineRule="auto" w:line="360"/>
        <w:ind w:firstLine="709"/>
        <w:jc w:val="both"/>
        <w:rPr>
          <w:rFonts w:eastAsia="Times New Roman"/>
          <w:sz w:val="28"/>
          <w:szCs w:val="28"/>
        </w:rPr>
      </w:pPr>
      <w:r>
        <w:rPr>
          <w:rFonts w:eastAsia="Times New Roman"/>
          <w:sz w:val="28"/>
          <w:szCs w:val="28"/>
        </w:rPr>
        <w:t>Однако, на наш взгляд, перечень заболеваний, с которыми сталкивается судебно-медицинский эксперт при определении тяжести вреда здоровью, более широкий. Так, касаемо нашей темы исследования под заболеванием следует понимать ненормальное состояние организма, характеризующееся появлением анатомических и (или) функциональных расстройств, вследствие деструктивного воздействия внутренних (ненасильственных) неблагоприятных факторов. Исходя из этого к заболеваниям следует относить инфаркт миокарда, гипертоническую болезнь, язву желудка и др.</w:t>
      </w:r>
    </w:p>
    <w:p>
      <w:pPr>
        <w:pStyle w:val="Normal"/>
        <w:spacing w:lineRule="auto" w:line="360"/>
        <w:ind w:firstLine="709"/>
        <w:jc w:val="both"/>
        <w:rPr>
          <w:sz w:val="28"/>
          <w:szCs w:val="28"/>
        </w:rPr>
      </w:pPr>
      <w:r>
        <w:rPr>
          <w:rFonts w:eastAsia="Times New Roman"/>
          <w:sz w:val="28"/>
          <w:szCs w:val="28"/>
        </w:rPr>
        <w:t>Вред здоровью может выражаться в патологическом состоянии, под которым понимают отклонение от нормы, имеющее биологически отрицательное значение для организма. К числу таковых относят шоковое состояние, острую сердечную, дыхательную недостаточности и др.</w:t>
      </w:r>
    </w:p>
    <w:p>
      <w:pPr>
        <w:pStyle w:val="Normal"/>
        <w:spacing w:lineRule="auto" w:line="360"/>
        <w:ind w:firstLine="709"/>
        <w:jc w:val="both"/>
        <w:rPr>
          <w:rFonts w:eastAsia="Times New Roman"/>
          <w:sz w:val="28"/>
          <w:szCs w:val="28"/>
        </w:rPr>
      </w:pPr>
      <w:r>
        <w:rPr>
          <w:rFonts w:eastAsia="Times New Roman"/>
          <w:sz w:val="28"/>
          <w:szCs w:val="28"/>
        </w:rPr>
        <w:t>Что касается понятия «физическая боль», то содержание данного термина ни в одном нормативном правовом акте не раскрывается. Лишь в юридической литературе зачастую встречается следующее определение: «Боль - своеобразное психофизиологическое состояние человека, возникающее в результате сверхсильных или разрушительных раздражителей, вызывающих органические или функциональные нарушения в организме»</w:t>
      </w:r>
      <w:r>
        <w:rPr>
          <w:rStyle w:val="FootnoteCharacters"/>
          <w:rStyle w:val="Style16"/>
          <w:rFonts w:eastAsia="Times New Roman"/>
          <w:sz w:val="28"/>
          <w:szCs w:val="28"/>
        </w:rPr>
        <w:footnoteReference w:id="7"/>
      </w:r>
      <w:r>
        <w:rPr>
          <w:rFonts w:eastAsia="Times New Roman"/>
          <w:sz w:val="28"/>
          <w:szCs w:val="28"/>
        </w:rPr>
        <w:t xml:space="preserve">. </w:t>
      </w:r>
    </w:p>
    <w:p>
      <w:pPr>
        <w:pStyle w:val="Normal"/>
        <w:spacing w:lineRule="auto" w:line="360"/>
        <w:ind w:firstLine="709"/>
        <w:jc w:val="both"/>
        <w:rPr>
          <w:rFonts w:eastAsia="Times New Roman"/>
          <w:sz w:val="28"/>
          <w:szCs w:val="28"/>
        </w:rPr>
      </w:pPr>
      <w:r>
        <w:rPr>
          <w:rFonts w:eastAsia="Times New Roman"/>
          <w:sz w:val="28"/>
          <w:szCs w:val="28"/>
        </w:rPr>
        <w:t>В рамках темы исследования необходимо обратить внимание на то, что в уголовно-правовой науке не всегда четко определен момент возникновения причинения вреда здоровью не вследствие воздействия факторов окружающей среды, а в результате использования данных условий человеком. В такой ситуации «причинение вреда здоровью человека путем бездействия возможно только в тех случаях, когда лицо было обязано и могло совершить определенные действия, направленные на предотвращение причинения вреда здоровью человека, но не выполнило их».</w:t>
      </w:r>
    </w:p>
    <w:p>
      <w:pPr>
        <w:pStyle w:val="Normal"/>
        <w:spacing w:lineRule="auto" w:line="360"/>
        <w:ind w:firstLine="709"/>
        <w:jc w:val="both"/>
        <w:rPr>
          <w:sz w:val="28"/>
          <w:szCs w:val="28"/>
        </w:rPr>
      </w:pPr>
      <w:r>
        <w:rPr>
          <w:rFonts w:eastAsia="Times New Roman"/>
          <w:sz w:val="28"/>
          <w:szCs w:val="28"/>
        </w:rPr>
        <w:t>Таким образом, несмотря на то, что термин «вред здоровью» в уголовном законодательстве Российской Федерации был введен законодателем в 1996 г., вокруг данного понятия, его сущности ведутся многочисленные дискуссии среди ученых и практических работников. Разрешению данной проблемы могло послужить законодательное закрепление понятия «вред здоровью».</w:t>
      </w:r>
      <w:r>
        <w:rPr>
          <w:sz w:val="28"/>
          <w:szCs w:val="28"/>
        </w:rPr>
        <w:t xml:space="preserve"> Отсутствие нормативного определения понятия «вред здоровью» негативно сказывается на юридической практике применения уголовных норм об ответственности за причинение тяжкого вреда здоровью.</w:t>
      </w:r>
    </w:p>
    <w:p>
      <w:pPr>
        <w:pStyle w:val="Normal"/>
        <w:spacing w:lineRule="auto" w:line="360"/>
        <w:ind w:firstLine="709"/>
        <w:jc w:val="both"/>
        <w:rPr>
          <w:sz w:val="28"/>
          <w:szCs w:val="28"/>
        </w:rPr>
      </w:pPr>
      <w:r>
        <w:rPr>
          <w:sz w:val="28"/>
          <w:szCs w:val="28"/>
        </w:rPr>
      </w:r>
    </w:p>
    <w:p>
      <w:pPr>
        <w:pStyle w:val="Normal"/>
        <w:spacing w:lineRule="auto" w:line="360"/>
        <w:jc w:val="center"/>
        <w:rPr>
          <w:b/>
          <w:b/>
          <w:sz w:val="28"/>
          <w:szCs w:val="28"/>
        </w:rPr>
      </w:pPr>
      <w:r>
        <w:rPr>
          <w:rFonts w:eastAsia="Times New Roman"/>
          <w:b/>
          <w:sz w:val="28"/>
          <w:szCs w:val="28"/>
        </w:rPr>
        <w:t>1.2 Объективные признаки преступления, предусмотренного ст. 111 УК РФ</w:t>
      </w:r>
    </w:p>
    <w:p>
      <w:pPr>
        <w:pStyle w:val="Normal"/>
        <w:spacing w:lineRule="auto" w:line="360"/>
        <w:ind w:firstLine="709"/>
        <w:jc w:val="both"/>
        <w:rPr>
          <w:sz w:val="28"/>
          <w:szCs w:val="28"/>
        </w:rPr>
      </w:pPr>
      <w:r>
        <w:rPr>
          <w:sz w:val="28"/>
          <w:szCs w:val="28"/>
        </w:rPr>
      </w:r>
    </w:p>
    <w:p>
      <w:pPr>
        <w:pStyle w:val="Normal"/>
        <w:spacing w:lineRule="auto" w:line="360"/>
        <w:ind w:firstLine="709"/>
        <w:jc w:val="both"/>
        <w:rPr>
          <w:rFonts w:eastAsia="Times New Roman"/>
          <w:sz w:val="28"/>
          <w:szCs w:val="28"/>
        </w:rPr>
      </w:pPr>
      <w:r>
        <w:rPr>
          <w:rFonts w:eastAsia="Times New Roman"/>
          <w:sz w:val="28"/>
          <w:szCs w:val="28"/>
        </w:rPr>
        <w:t>Одним из самых распространенных преступлений против здоровья выступает умышленное причинение тяжкого вреда здоровью, под которым понимается «причинение вреда здоровью, опасного для жизни человека, или повлекшего за собой потерю зрения, речи, слуха либо какого-либо органа или утрату органом его функций, прерывание беременности, психическое расстройство, заболевание наркоманией либо токсикоманией, или выразившегося в неизгладимом обезображивании лица, или вызвавшего значительную стойкую утрату общей трудоспособности не менее чем на одну треть или заведомо для виновного полную утрату профессиональной трудоспособности»</w:t>
      </w:r>
    </w:p>
    <w:p>
      <w:pPr>
        <w:pStyle w:val="Normal"/>
        <w:spacing w:lineRule="auto" w:line="360"/>
        <w:ind w:firstLine="709"/>
        <w:jc w:val="both"/>
        <w:rPr>
          <w:rFonts w:eastAsia="Times New Roman"/>
          <w:sz w:val="28"/>
          <w:szCs w:val="28"/>
        </w:rPr>
      </w:pPr>
      <w:r>
        <w:rPr>
          <w:rFonts w:eastAsia="Times New Roman"/>
          <w:sz w:val="28"/>
          <w:szCs w:val="28"/>
        </w:rPr>
        <w:t>Повышенная общественная опасность этого преступления заключается в посягательстве на одно из самых ценных достоинств человека – его здоровье, которому причиняется непоправимый урон. Именно здоровье выступает объектом уголовно-правовой охраны данного преступления.</w:t>
      </w:r>
    </w:p>
    <w:p>
      <w:pPr>
        <w:pStyle w:val="Normal"/>
        <w:spacing w:lineRule="auto" w:line="360"/>
        <w:ind w:firstLine="709"/>
        <w:jc w:val="both"/>
        <w:rPr>
          <w:rFonts w:eastAsia="Times New Roman"/>
          <w:sz w:val="28"/>
          <w:szCs w:val="28"/>
        </w:rPr>
      </w:pPr>
      <w:r>
        <w:rPr>
          <w:rFonts w:eastAsia="Times New Roman"/>
          <w:sz w:val="28"/>
          <w:szCs w:val="28"/>
        </w:rPr>
        <w:t>Как уже отмечалось в предыдущем параграфе, здоровье представляет собой физическое</w:t>
        <w:tab/>
        <w:t>и психическое состояние организма человека, предполагающее сохранение в норме анатомической целостности органов и тканей, их физиологических функций, отсутствие заболеваний и патологических состояний.</w:t>
      </w:r>
    </w:p>
    <w:p>
      <w:pPr>
        <w:pStyle w:val="Normal"/>
        <w:spacing w:lineRule="auto" w:line="360"/>
        <w:ind w:firstLine="709"/>
        <w:jc w:val="both"/>
        <w:rPr>
          <w:sz w:val="28"/>
          <w:szCs w:val="28"/>
        </w:rPr>
      </w:pPr>
      <w:r>
        <w:rPr>
          <w:rFonts w:eastAsia="Times New Roman"/>
          <w:sz w:val="28"/>
          <w:szCs w:val="28"/>
        </w:rPr>
        <w:t>Характеризуя объективную сторону рассматриваемого преступления, необходимо сказать, что данное преступление может быть совершено как в форме действия, так и бездействия. В первом случае преступные действия выражаются в механическом, физическом, химическом либо в психическом умышленном воздействии на потерпевшего. Если вести речь о бездействии, то в такой форме преступление, предусмотренное ст. 111 УК РФ,  возможно, если виновный не совершает определенных действий, которые он обязан был и мог совершить в отношении другого человека.</w:t>
      </w:r>
    </w:p>
    <w:p>
      <w:pPr>
        <w:pStyle w:val="Normal"/>
        <w:spacing w:lineRule="auto" w:line="360"/>
        <w:ind w:firstLine="709"/>
        <w:jc w:val="both"/>
        <w:rPr>
          <w:rFonts w:eastAsia="Times New Roman"/>
          <w:sz w:val="28"/>
          <w:szCs w:val="28"/>
        </w:rPr>
      </w:pPr>
      <w:r>
        <w:rPr>
          <w:rFonts w:eastAsia="Times New Roman"/>
          <w:sz w:val="28"/>
          <w:szCs w:val="28"/>
        </w:rPr>
        <w:t>Состав преступления, предусмотренного ст. 111 УК РФ, является материальным, поскольку обязательными признаками объективной стороны являются тяжкий вред здоровью и причинная связь между действиями (бездействием) и причиненным вредом. При этом вред должен быть тяжким.</w:t>
      </w:r>
    </w:p>
    <w:p>
      <w:pPr>
        <w:pStyle w:val="Normal"/>
        <w:spacing w:lineRule="auto" w:line="360"/>
        <w:ind w:firstLine="709"/>
        <w:jc w:val="both"/>
        <w:rPr>
          <w:rFonts w:eastAsia="Times New Roman"/>
          <w:sz w:val="28"/>
          <w:szCs w:val="28"/>
        </w:rPr>
      </w:pPr>
      <w:r>
        <w:rPr>
          <w:rFonts w:eastAsia="Times New Roman"/>
          <w:sz w:val="28"/>
          <w:szCs w:val="28"/>
        </w:rPr>
        <w:t xml:space="preserve">Объективная сторона состоит в причинении вреда здоровью, являющегося тяжким. Тяжкий вред может быть двух видов: </w:t>
      </w:r>
    </w:p>
    <w:p>
      <w:pPr>
        <w:pStyle w:val="Normal"/>
        <w:spacing w:lineRule="auto" w:line="360"/>
        <w:ind w:firstLine="709"/>
        <w:jc w:val="both"/>
        <w:rPr>
          <w:rFonts w:eastAsia="Times New Roman"/>
          <w:sz w:val="28"/>
          <w:szCs w:val="28"/>
        </w:rPr>
      </w:pPr>
      <w:r>
        <w:rPr>
          <w:rFonts w:eastAsia="Times New Roman"/>
          <w:sz w:val="28"/>
          <w:szCs w:val="28"/>
        </w:rPr>
        <w:t xml:space="preserve">- опасный для жизни в момент причинения; </w:t>
      </w:r>
    </w:p>
    <w:p>
      <w:pPr>
        <w:pStyle w:val="Normal"/>
        <w:spacing w:lineRule="auto" w:line="360"/>
        <w:ind w:firstLine="709"/>
        <w:jc w:val="both"/>
        <w:rPr>
          <w:rFonts w:eastAsia="Times New Roman"/>
          <w:sz w:val="28"/>
          <w:szCs w:val="28"/>
        </w:rPr>
      </w:pPr>
      <w:r>
        <w:rPr>
          <w:rFonts w:eastAsia="Times New Roman"/>
          <w:sz w:val="28"/>
          <w:szCs w:val="28"/>
        </w:rPr>
        <w:t>- не опасный для жизни, но повлекший за собой потерю зрения, речи, слуха либо какого-либо органа или утрату органом его функций, прерывание беременности, психическое расстройство, заболевание наркоманией либо токсикоманией, или выразился в неизгладимом обезображивании лица, или вызвал значительную стойкую утрату общей трудоспособности не менее чем на одну треть или заведомо для виновного полную утрату профессиональной трудоспособности.</w:t>
      </w:r>
    </w:p>
    <w:p>
      <w:pPr>
        <w:pStyle w:val="Normal"/>
        <w:spacing w:lineRule="auto" w:line="360"/>
        <w:ind w:firstLine="709"/>
        <w:jc w:val="both"/>
        <w:rPr>
          <w:sz w:val="28"/>
          <w:szCs w:val="28"/>
        </w:rPr>
      </w:pPr>
      <w:r>
        <w:rPr>
          <w:rFonts w:eastAsia="Times New Roman"/>
          <w:sz w:val="28"/>
          <w:szCs w:val="28"/>
        </w:rPr>
        <w:t>В течение длительного времени в юридической и медицинской науке  имелись разночтения в понимании опасности для жизни, что, естественно, не могло не отразится на судебной практике. Так, одни ученые считали, что степень тяжести и опасности повреждения зависит от его исхода. По их мнению, нет неопасных повреждений. Общее состояние здоровья необходимо определять по последствиям перенесенной (неперенесенной) болезни</w:t>
      </w:r>
      <w:r>
        <w:rPr>
          <w:rStyle w:val="FootnoteCharacters"/>
          <w:rStyle w:val="Style16"/>
          <w:rFonts w:eastAsia="Times New Roman"/>
          <w:sz w:val="28"/>
          <w:szCs w:val="28"/>
        </w:rPr>
        <w:footnoteReference w:id="8"/>
      </w:r>
      <w:r>
        <w:rPr>
          <w:rFonts w:eastAsia="Times New Roman"/>
          <w:sz w:val="28"/>
          <w:szCs w:val="28"/>
        </w:rPr>
        <w:t>. Однако такой подход оставлял открытым вопрос о том, должен ли вред быть опасным для жизни в момент причинения или должны быть последствия, наступающие через определенный период времени.</w:t>
      </w:r>
    </w:p>
    <w:p>
      <w:pPr>
        <w:pStyle w:val="Normal"/>
        <w:spacing w:lineRule="auto" w:line="360"/>
        <w:ind w:firstLine="709"/>
        <w:jc w:val="both"/>
        <w:rPr>
          <w:rFonts w:eastAsia="Times New Roman"/>
          <w:sz w:val="28"/>
          <w:szCs w:val="28"/>
        </w:rPr>
      </w:pPr>
      <w:r>
        <w:rPr>
          <w:rFonts w:eastAsia="Times New Roman"/>
          <w:sz w:val="28"/>
          <w:szCs w:val="28"/>
        </w:rPr>
        <w:t>Другие ученые считали, что телесные повреждения являются опасными для жизни при условии установления причинной связи между нанесенными повреждениями и возникшими на их основе последствиями, опасными для жизни. При этом не придается особое значение таким моментам:</w:t>
      </w:r>
    </w:p>
    <w:p>
      <w:pPr>
        <w:pStyle w:val="Normal"/>
        <w:spacing w:lineRule="auto" w:line="360"/>
        <w:ind w:firstLine="709"/>
        <w:jc w:val="both"/>
        <w:rPr>
          <w:rFonts w:eastAsia="Times New Roman"/>
          <w:sz w:val="28"/>
          <w:szCs w:val="28"/>
        </w:rPr>
      </w:pPr>
      <w:r>
        <w:rPr>
          <w:rFonts w:eastAsia="Times New Roman"/>
          <w:sz w:val="28"/>
          <w:szCs w:val="28"/>
        </w:rPr>
        <w:t xml:space="preserve">- как было ли повреждение опасным в момент его причинения или нет; </w:t>
      </w:r>
    </w:p>
    <w:p>
      <w:pPr>
        <w:pStyle w:val="Normal"/>
        <w:spacing w:lineRule="auto" w:line="360"/>
        <w:ind w:firstLine="709"/>
        <w:jc w:val="both"/>
        <w:rPr>
          <w:rFonts w:eastAsia="Times New Roman"/>
          <w:sz w:val="28"/>
          <w:szCs w:val="28"/>
        </w:rPr>
      </w:pPr>
      <w:r>
        <w:rPr>
          <w:rFonts w:eastAsia="Times New Roman"/>
          <w:sz w:val="28"/>
          <w:szCs w:val="28"/>
        </w:rPr>
        <w:t xml:space="preserve">- стало ли повреждение опасным во время последовавшей за этим болезни или нет; </w:t>
      </w:r>
    </w:p>
    <w:p>
      <w:pPr>
        <w:pStyle w:val="Normal"/>
        <w:spacing w:lineRule="auto" w:line="360"/>
        <w:ind w:firstLine="709"/>
        <w:jc w:val="both"/>
        <w:rPr>
          <w:sz w:val="28"/>
          <w:szCs w:val="28"/>
        </w:rPr>
      </w:pPr>
      <w:r>
        <w:rPr>
          <w:rFonts w:eastAsia="Times New Roman"/>
          <w:sz w:val="28"/>
          <w:szCs w:val="28"/>
        </w:rPr>
        <w:t>- оставило ли повреждение после себя стойкое расстройство здоровья или нет.</w:t>
      </w:r>
    </w:p>
    <w:p>
      <w:pPr>
        <w:pStyle w:val="Normal"/>
        <w:spacing w:lineRule="auto" w:line="360"/>
        <w:ind w:firstLine="709"/>
        <w:jc w:val="both"/>
        <w:rPr>
          <w:sz w:val="28"/>
          <w:szCs w:val="28"/>
        </w:rPr>
      </w:pPr>
      <w:r>
        <w:rPr>
          <w:rFonts w:eastAsia="Times New Roman"/>
          <w:sz w:val="28"/>
          <w:szCs w:val="28"/>
        </w:rPr>
        <w:t>С учетом сказанного, считаем, что тяжкий вред здоровью является опасным для жизни человека, если создает угрозу для жизни или вызывает развитие угрожающего жизни состояния. В первом случае это может выражаться в переломе свода и (или) основания черепа, внутричерепной травме, закрытом повреждении органов грудной или брюшной полости, тазовых органов, глубоких проникающих ранах различной локализации, множественных двусторонних переломах ребер, повреждении крупных кровеносных сосудов, ожогах, отморожениях и лучевых поражениях тяжелой степени. Во втором случае тяжкий вред здоровья может вызывать шок 3-4 степени, кому 2-3 степени, острую, обильную или массивную кровопотери, острую сердечную и (или) сосудистую недостаточность, тяжелую степень нарушения мозгового кровообращения, гнойно-септическое состояние, различные виды эмболии, острое отравление химическими и биологическими веществами и т.д.</w:t>
      </w:r>
    </w:p>
    <w:p>
      <w:pPr>
        <w:pStyle w:val="Normal"/>
        <w:spacing w:lineRule="auto" w:line="360"/>
        <w:ind w:firstLine="709"/>
        <w:jc w:val="both"/>
        <w:rPr>
          <w:rFonts w:eastAsia="Times New Roman"/>
          <w:sz w:val="28"/>
          <w:szCs w:val="28"/>
        </w:rPr>
      </w:pPr>
      <w:r>
        <w:rPr>
          <w:rFonts w:eastAsia="Times New Roman"/>
          <w:sz w:val="28"/>
          <w:szCs w:val="28"/>
        </w:rPr>
        <w:t>Теперь перейдем к характеристике иных вредных последствий, указанных в ч. 1 ст. 111 УК РФ. Причинение тяжкого вреда может сопровождаться:</w:t>
      </w:r>
    </w:p>
    <w:p>
      <w:pPr>
        <w:pStyle w:val="Normal"/>
        <w:spacing w:lineRule="auto" w:line="360"/>
        <w:ind w:firstLine="709"/>
        <w:jc w:val="both"/>
        <w:rPr>
          <w:rFonts w:eastAsia="Times New Roman"/>
          <w:sz w:val="28"/>
          <w:szCs w:val="28"/>
        </w:rPr>
      </w:pPr>
      <w:r>
        <w:rPr>
          <w:rFonts w:eastAsia="Times New Roman"/>
          <w:sz w:val="28"/>
          <w:szCs w:val="28"/>
        </w:rPr>
        <w:t>- потерей зрения, под которой понимается полная стойкая слепота на оба глаза или такое необратимое состояние, когда в результате травмы, отравления либо иного внешнего воздействия у человека возникло ухудшение зрения, что соответствует остроте зрения, равной 0,04 и ниже;</w:t>
      </w:r>
    </w:p>
    <w:p>
      <w:pPr>
        <w:pStyle w:val="Normal"/>
        <w:spacing w:lineRule="auto" w:line="360"/>
        <w:ind w:firstLine="709"/>
        <w:jc w:val="both"/>
        <w:rPr>
          <w:rFonts w:eastAsia="Times New Roman"/>
          <w:sz w:val="28"/>
          <w:szCs w:val="28"/>
        </w:rPr>
      </w:pPr>
      <w:r>
        <w:rPr>
          <w:rFonts w:eastAsia="Times New Roman"/>
          <w:sz w:val="28"/>
          <w:szCs w:val="28"/>
        </w:rPr>
        <w:t>- потерей речи, т.е. необратимой потери способности выражать мысли членораздельными звуками, понятными для окружающих;</w:t>
      </w:r>
    </w:p>
    <w:p>
      <w:pPr>
        <w:pStyle w:val="Normal"/>
        <w:spacing w:lineRule="auto" w:line="360"/>
        <w:ind w:firstLine="709"/>
        <w:jc w:val="both"/>
        <w:rPr>
          <w:rFonts w:eastAsia="Times New Roman"/>
          <w:sz w:val="28"/>
          <w:szCs w:val="28"/>
        </w:rPr>
      </w:pPr>
      <w:r>
        <w:rPr>
          <w:rFonts w:eastAsia="Times New Roman"/>
          <w:sz w:val="28"/>
          <w:szCs w:val="28"/>
        </w:rPr>
        <w:t>- потерей слуха, т.е. полной стойкой глухоты на оба уха или необратимом состоянии, когда человек не слышит разговорную речь на расстоянии 3-5 см от ушной раковины;</w:t>
      </w:r>
    </w:p>
    <w:p>
      <w:pPr>
        <w:pStyle w:val="Normal"/>
        <w:spacing w:lineRule="auto" w:line="360"/>
        <w:ind w:firstLine="709"/>
        <w:jc w:val="both"/>
        <w:rPr>
          <w:sz w:val="28"/>
          <w:szCs w:val="28"/>
        </w:rPr>
      </w:pPr>
      <w:r>
        <w:rPr>
          <w:rFonts w:eastAsia="Times New Roman"/>
          <w:sz w:val="28"/>
          <w:szCs w:val="28"/>
        </w:rPr>
        <w:t>- потерей какого-либо органа либо утратой органом его функций, что может выражаться в потере руки, ноги, их параличе и т.д. При этом потеря кисти или стопы приравнивается к потере руки или ноги. Если повреждение половых органов сопровождается потерей производительной способности (потери способности к оплодотворению, зачатию, вынашиванию и деторождению), то такой вред также признается тяжким.</w:t>
      </w:r>
    </w:p>
    <w:p>
      <w:pPr>
        <w:pStyle w:val="Normal"/>
        <w:spacing w:lineRule="auto" w:line="360"/>
        <w:ind w:firstLine="709"/>
        <w:jc w:val="both"/>
        <w:rPr>
          <w:sz w:val="28"/>
          <w:szCs w:val="28"/>
        </w:rPr>
      </w:pPr>
      <w:r>
        <w:rPr>
          <w:rFonts w:eastAsia="Times New Roman"/>
          <w:sz w:val="28"/>
          <w:szCs w:val="28"/>
        </w:rPr>
        <w:t>Тяжким вредом здоровья признается прерывание беременности, под которым понимается прекращение ее течения независимо от срока вследствие причинения вреда здоровью или с внутриутробной гибелью плода. Однако прерывание беременности не должно быть обусловлено заболеваниями и патологиями, которыми женщина имела до причинения ей вреда здоровью. Важно отметить, что тяжким вредом здоровью признается прерывание беременности путем медицинского вмешательства вследствие внешних факторов.</w:t>
      </w:r>
    </w:p>
    <w:p>
      <w:pPr>
        <w:pStyle w:val="Normal"/>
        <w:spacing w:lineRule="auto" w:line="360"/>
        <w:ind w:firstLine="709"/>
        <w:jc w:val="both"/>
        <w:rPr>
          <w:sz w:val="28"/>
          <w:szCs w:val="28"/>
        </w:rPr>
      </w:pPr>
      <w:r>
        <w:rPr>
          <w:rFonts w:eastAsia="Times New Roman"/>
          <w:sz w:val="28"/>
          <w:szCs w:val="28"/>
        </w:rPr>
        <w:t xml:space="preserve">К тяжкому вреду для здоровья относится и психическое расстройство вне зависимости его тяжести, продолжительности, излечимости. Причем психическое расстройство может быть не только ввиду причинения физической травмы, но и по причине психического потрясения, полученного в результате физической травмы или сообщения, способствующих наступлению психического потрясения. Определение такого повреждения относится к предмету судебно-психиатрической экспертизы. </w:t>
      </w:r>
    </w:p>
    <w:p>
      <w:pPr>
        <w:pStyle w:val="Normal"/>
        <w:spacing w:lineRule="auto" w:line="360"/>
        <w:ind w:firstLine="709"/>
        <w:jc w:val="both"/>
        <w:rPr>
          <w:sz w:val="28"/>
          <w:szCs w:val="28"/>
        </w:rPr>
      </w:pPr>
      <w:r>
        <w:rPr>
          <w:rFonts w:eastAsia="Times New Roman"/>
          <w:sz w:val="28"/>
          <w:szCs w:val="28"/>
        </w:rPr>
        <w:t>В определенных ситуациях, когда у потерпевшего наступило психическое расстройство вследствие совершения преступления, «опасность для жизни» выступает самостоятельным квалифицирующим признаком тяжкого вреда здоровью при наличии соматической патологии, которая явилась следствием того же преступления</w:t>
      </w:r>
      <w:r>
        <w:rPr>
          <w:rStyle w:val="FootnoteCharacters"/>
          <w:rStyle w:val="Style16"/>
          <w:rFonts w:eastAsia="Times New Roman"/>
          <w:sz w:val="28"/>
          <w:szCs w:val="28"/>
        </w:rPr>
        <w:footnoteReference w:id="9"/>
      </w:r>
      <w:r>
        <w:rPr>
          <w:rFonts w:eastAsia="Times New Roman"/>
          <w:sz w:val="28"/>
          <w:szCs w:val="28"/>
        </w:rPr>
        <w:t>.</w:t>
      </w:r>
    </w:p>
    <w:p>
      <w:pPr>
        <w:pStyle w:val="Normal"/>
        <w:spacing w:lineRule="auto" w:line="360"/>
        <w:ind w:firstLine="709"/>
        <w:jc w:val="both"/>
        <w:rPr>
          <w:sz w:val="28"/>
          <w:szCs w:val="28"/>
        </w:rPr>
      </w:pPr>
      <w:r>
        <w:rPr>
          <w:rFonts w:eastAsia="Times New Roman"/>
          <w:sz w:val="28"/>
          <w:szCs w:val="28"/>
        </w:rPr>
        <w:t>Причинение тяжкого вреда может сопровождаться заболеванием наркоманией или токсикоманией, которые могут вменяться субъекту лишь в случае установления причинно-следственной связи между его действием и наступившим последствием. У потерпевшего должна быть вызвана непреодолимая зависимость к употреблению наркотических средств, психотропных или токсических веществ. В качестве одного из самых распространенных способов такого причинения тяжкого вреда здоровью выступает неоднократное насильственное введение в организм потерпевшего наркотиков или токсических веществ</w:t>
      </w:r>
      <w:r>
        <w:rPr>
          <w:rStyle w:val="FootnoteCharacters"/>
          <w:rStyle w:val="Style16"/>
          <w:rFonts w:eastAsia="Times New Roman"/>
          <w:sz w:val="28"/>
          <w:szCs w:val="28"/>
        </w:rPr>
        <w:footnoteReference w:id="10"/>
      </w:r>
      <w:r>
        <w:rPr>
          <w:rFonts w:eastAsia="Times New Roman"/>
          <w:sz w:val="28"/>
          <w:szCs w:val="28"/>
        </w:rPr>
        <w:t>.</w:t>
      </w:r>
    </w:p>
    <w:p>
      <w:pPr>
        <w:pStyle w:val="Normal"/>
        <w:spacing w:lineRule="auto" w:line="360"/>
        <w:ind w:firstLine="709"/>
        <w:jc w:val="both"/>
        <w:rPr>
          <w:sz w:val="28"/>
          <w:szCs w:val="28"/>
        </w:rPr>
      </w:pPr>
      <w:r>
        <w:rPr>
          <w:rFonts w:eastAsia="Times New Roman"/>
          <w:sz w:val="28"/>
          <w:szCs w:val="28"/>
        </w:rPr>
        <w:t>Наконец, тяжким вредом здоровью признается и неизгладимое обезображивание лица, которое влечет нравственные страдания потерпевшего и нарушает функции организма</w:t>
      </w:r>
      <w:r>
        <w:rPr>
          <w:rStyle w:val="FootnoteCharacters"/>
          <w:rStyle w:val="Style16"/>
          <w:rFonts w:eastAsia="Times New Roman"/>
          <w:sz w:val="28"/>
          <w:szCs w:val="28"/>
        </w:rPr>
        <w:footnoteReference w:id="11"/>
      </w:r>
      <w:r>
        <w:rPr>
          <w:rFonts w:eastAsia="Times New Roman"/>
          <w:sz w:val="28"/>
          <w:szCs w:val="28"/>
        </w:rPr>
        <w:t>. Такое причинение вреда здоровью характеризуется двумя свойствами: неизгладимостью и обезображенностью. Под неизгладимостью понимаются такие повреждения лица, которые не исчезают самостоятельно. Для устранения повреждений лица необходимо оперативное вмешательство</w:t>
      </w:r>
      <w:r>
        <w:rPr>
          <w:rStyle w:val="FootnoteCharacters"/>
          <w:rStyle w:val="Style16"/>
          <w:rFonts w:eastAsia="Times New Roman"/>
          <w:sz w:val="28"/>
          <w:szCs w:val="28"/>
        </w:rPr>
        <w:footnoteReference w:id="12"/>
      </w:r>
      <w:r>
        <w:rPr>
          <w:rFonts w:eastAsia="Times New Roman"/>
          <w:sz w:val="28"/>
          <w:szCs w:val="28"/>
        </w:rPr>
        <w:t>. Неизгладимость причинений повреждений устанавливается в ходе проведения судебно – медицинской экспертизы. Обезображивание представляет собой изменение внешности потерпевшего, которое придает ему отталкивающий или устрашающий вид. Степень обезображивания определяет суд, руководствуясь эстетическим критерием.</w:t>
      </w:r>
    </w:p>
    <w:p>
      <w:pPr>
        <w:pStyle w:val="Normal"/>
        <w:spacing w:lineRule="auto" w:line="360"/>
        <w:ind w:firstLine="709"/>
        <w:jc w:val="both"/>
        <w:rPr>
          <w:sz w:val="28"/>
          <w:szCs w:val="28"/>
        </w:rPr>
      </w:pPr>
      <w:r>
        <w:rPr>
          <w:rFonts w:eastAsia="Times New Roman"/>
          <w:sz w:val="28"/>
          <w:szCs w:val="28"/>
        </w:rPr>
        <w:t xml:space="preserve">Как уже отмечалось неизгладимое обезображивание лица может повлечь нравственные страдания потерпевшего, поскольку при обезображивании лица  у окружающих может быть вызвана отрицательная эмоциональная реакция, либо потерпевший не сможет в дальнейшем заниматься профессиональной деятельностью (например, актерским искусством). А это в дальнейшем может вообще привести к психическому расстройству или самоубийству потерпевшего. </w:t>
      </w:r>
    </w:p>
    <w:p>
      <w:pPr>
        <w:pStyle w:val="Normal"/>
        <w:spacing w:lineRule="auto" w:line="360"/>
        <w:ind w:firstLine="709"/>
        <w:jc w:val="both"/>
        <w:rPr>
          <w:rFonts w:eastAsia="Times New Roman"/>
          <w:sz w:val="28"/>
          <w:szCs w:val="28"/>
        </w:rPr>
      </w:pPr>
      <w:r>
        <w:rPr>
          <w:rFonts w:eastAsia="Times New Roman"/>
          <w:sz w:val="28"/>
          <w:szCs w:val="28"/>
        </w:rPr>
        <w:t>При этом необходимо отметить, что законодатель четко определяет, что к причинению тяжкого вреда здоровью относится неизгладимое обезображивание лица, а не других участков тела. Вместе с тем в научной среде не все согласны с таким решением. Так, А.Г. Корчагин и Н.П. Федорова считают, что было бы справедливым признавать тяжким вредом здоровью и неизгладимое обезображивание шеи в передней видимой части или волосистого покрова головы в целом, поскольку повреждения указанных участков также будут придавать в целом отталкивающий, безобразный вид потерпевшему</w:t>
      </w:r>
      <w:r>
        <w:rPr>
          <w:rStyle w:val="FootnoteCharacters"/>
          <w:rStyle w:val="Style16"/>
          <w:rFonts w:eastAsia="Times New Roman"/>
          <w:sz w:val="28"/>
          <w:szCs w:val="28"/>
        </w:rPr>
        <w:footnoteReference w:id="13"/>
      </w:r>
      <w:r>
        <w:rPr>
          <w:rFonts w:eastAsia="Times New Roman"/>
          <w:sz w:val="28"/>
          <w:szCs w:val="28"/>
        </w:rPr>
        <w:t xml:space="preserve">. Справедливости ради следует отметить, что судебно-следственной практике известны случаи, когда область шеи и даже грудь оценивались как неизгладимое обезображивание. </w:t>
      </w:r>
    </w:p>
    <w:p>
      <w:pPr>
        <w:pStyle w:val="Normal"/>
        <w:spacing w:lineRule="auto" w:line="360"/>
        <w:ind w:firstLine="709"/>
        <w:jc w:val="both"/>
        <w:rPr>
          <w:sz w:val="28"/>
          <w:szCs w:val="28"/>
        </w:rPr>
      </w:pPr>
      <w:r>
        <w:rPr>
          <w:rFonts w:eastAsia="Times New Roman"/>
          <w:sz w:val="28"/>
          <w:szCs w:val="28"/>
        </w:rPr>
        <w:t>К неизгладимому обезображиванию следует относить повреждения фронтальной группы зубного ряда, поскольку именно данная область зубов считается  «эстетически значимой зоной», существенно влияющей на внешность человека</w:t>
      </w:r>
      <w:r>
        <w:rPr>
          <w:rStyle w:val="FootnoteCharacters"/>
          <w:rStyle w:val="Style16"/>
          <w:rFonts w:eastAsia="Times New Roman"/>
          <w:sz w:val="28"/>
          <w:szCs w:val="28"/>
        </w:rPr>
        <w:footnoteReference w:id="14"/>
      </w:r>
      <w:r>
        <w:rPr>
          <w:rFonts w:eastAsia="Times New Roman"/>
          <w:sz w:val="28"/>
          <w:szCs w:val="28"/>
        </w:rPr>
        <w:t>.</w:t>
      </w:r>
    </w:p>
    <w:p>
      <w:pPr>
        <w:pStyle w:val="Normal"/>
        <w:spacing w:lineRule="auto" w:line="360"/>
        <w:ind w:firstLine="709"/>
        <w:jc w:val="both"/>
        <w:rPr>
          <w:sz w:val="28"/>
          <w:szCs w:val="28"/>
        </w:rPr>
      </w:pPr>
      <w:r>
        <w:rPr>
          <w:rFonts w:eastAsia="Times New Roman"/>
          <w:sz w:val="28"/>
          <w:szCs w:val="28"/>
        </w:rPr>
        <w:t>При этом по справедливому замечанию А.А. Шаматульского, признак обезображивания должен оцениваться, независимо от возможности скрыть дефект одеждой или аксессуаром</w:t>
      </w:r>
      <w:r>
        <w:rPr>
          <w:rStyle w:val="FootnoteCharacters"/>
          <w:rStyle w:val="Style16"/>
          <w:rFonts w:eastAsia="Times New Roman"/>
          <w:sz w:val="28"/>
          <w:szCs w:val="28"/>
        </w:rPr>
        <w:footnoteReference w:id="15"/>
      </w:r>
      <w:r>
        <w:rPr>
          <w:rFonts w:eastAsia="Times New Roman"/>
          <w:sz w:val="28"/>
          <w:szCs w:val="28"/>
        </w:rPr>
        <w:t>, поскольку в жизни любого человека имеют место быть ситуации, когда человек находится без одежды под взглядом посторонних лиц, например, в бассейне или на пляже. А это может причинить потерпевшему определенные психические страдания</w:t>
      </w:r>
      <w:r>
        <w:rPr>
          <w:rStyle w:val="FootnoteCharacters"/>
          <w:rStyle w:val="Style16"/>
          <w:rFonts w:eastAsia="Times New Roman"/>
          <w:sz w:val="28"/>
          <w:szCs w:val="28"/>
        </w:rPr>
        <w:footnoteReference w:id="16"/>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Как уже отмечалось, степень обезображивания лица потерпевшего определяет суд, оценка которого может быть справедливой и несправедливой, исходя из его личных представлений о прекрасном и безобразном. По этой причине вряд ли правильным является наделение суда таким правом. На наш взгляд, подобное положение дел негативно сказывается на авторитете суда, поскольку законом судья наделяется несвойственной ему функцией обвинения.</w:t>
      </w:r>
    </w:p>
    <w:p>
      <w:pPr>
        <w:pStyle w:val="Normal"/>
        <w:spacing w:lineRule="auto" w:line="360"/>
        <w:ind w:firstLine="709"/>
        <w:jc w:val="both"/>
        <w:rPr>
          <w:rFonts w:eastAsia="Times New Roman"/>
          <w:sz w:val="28"/>
          <w:szCs w:val="28"/>
        </w:rPr>
      </w:pPr>
      <w:r>
        <w:rPr>
          <w:rFonts w:eastAsia="Times New Roman"/>
          <w:sz w:val="28"/>
          <w:szCs w:val="28"/>
        </w:rPr>
        <w:t>В качестве самостоятельного признака тяжкого вреда здоровью выступает значительная стойкая утрата общей трудоспособности не менее чем на 1/3 (при длительности расстройства здоровья свыше 120 дней). Под значительной стойкой утратой общей трудоспособности понимается необратимая утрата функций в виде ограничения жизнедеятельности и трудоспособности человека независимо от его квалификации и профессии, т.е. потеря врожденных и приобретенных способностей человека к действию, направленному на получение социально значимого результата в виде определенного продукта, изделия или услуги</w:t>
      </w:r>
      <w:r>
        <w:rPr>
          <w:rStyle w:val="FootnoteCharacters"/>
          <w:rStyle w:val="Style16"/>
          <w:rFonts w:eastAsia="Times New Roman"/>
          <w:sz w:val="28"/>
          <w:szCs w:val="28"/>
        </w:rPr>
        <w:footnoteReference w:id="17"/>
      </w:r>
      <w:r>
        <w:rPr>
          <w:rFonts w:eastAsia="Times New Roman"/>
          <w:sz w:val="28"/>
          <w:szCs w:val="28"/>
        </w:rPr>
        <w:t xml:space="preserve">. </w:t>
      </w:r>
    </w:p>
    <w:p>
      <w:pPr>
        <w:pStyle w:val="Normal"/>
        <w:spacing w:lineRule="auto" w:line="360"/>
        <w:ind w:firstLine="709"/>
        <w:jc w:val="both"/>
        <w:rPr>
          <w:rFonts w:eastAsia="Times New Roman"/>
          <w:sz w:val="28"/>
          <w:szCs w:val="28"/>
        </w:rPr>
      </w:pPr>
      <w:r>
        <w:rPr>
          <w:rFonts w:eastAsia="Times New Roman"/>
          <w:sz w:val="28"/>
          <w:szCs w:val="28"/>
        </w:rPr>
        <w:t xml:space="preserve">Тяжкий вред здоровью может выражаться и в заведомо для виновного полной утрате профессиональной трудоспособности, связанной с невозможностью выполнения определенного объема и качества работы по конкретной профессии, по которой осуществляется основная трудовая деятельность потерпевшего. При наличии нескольких профессий основной будет являться: </w:t>
      </w:r>
    </w:p>
    <w:p>
      <w:pPr>
        <w:pStyle w:val="Normal"/>
        <w:spacing w:lineRule="auto" w:line="360"/>
        <w:ind w:firstLine="709"/>
        <w:jc w:val="both"/>
        <w:rPr>
          <w:rFonts w:eastAsia="Times New Roman"/>
          <w:sz w:val="28"/>
          <w:szCs w:val="28"/>
        </w:rPr>
      </w:pPr>
      <w:r>
        <w:rPr>
          <w:rFonts w:eastAsia="Times New Roman"/>
          <w:sz w:val="28"/>
          <w:szCs w:val="28"/>
        </w:rPr>
        <w:t>- та профессия, при осуществлении которой было получено повреждение;</w:t>
      </w:r>
    </w:p>
    <w:p>
      <w:pPr>
        <w:pStyle w:val="Normal"/>
        <w:spacing w:lineRule="auto" w:line="360"/>
        <w:ind w:firstLine="709"/>
        <w:jc w:val="both"/>
        <w:rPr>
          <w:rFonts w:eastAsia="Times New Roman"/>
          <w:sz w:val="28"/>
          <w:szCs w:val="28"/>
        </w:rPr>
      </w:pPr>
      <w:r>
        <w:rPr>
          <w:rFonts w:eastAsia="Times New Roman"/>
          <w:sz w:val="28"/>
          <w:szCs w:val="28"/>
        </w:rPr>
        <w:t>- та профессия, по которой имеется более продолжительный стаж работы;</w:t>
      </w:r>
    </w:p>
    <w:p>
      <w:pPr>
        <w:pStyle w:val="Normal"/>
        <w:spacing w:lineRule="auto" w:line="360"/>
        <w:ind w:firstLine="709"/>
        <w:jc w:val="both"/>
        <w:rPr>
          <w:rFonts w:eastAsia="Times New Roman"/>
          <w:sz w:val="28"/>
          <w:szCs w:val="28"/>
        </w:rPr>
      </w:pPr>
      <w:r>
        <w:rPr>
          <w:rFonts w:eastAsia="Times New Roman"/>
          <w:sz w:val="28"/>
          <w:szCs w:val="28"/>
        </w:rPr>
        <w:t>- та профессия, которая получена путем специального обучения;</w:t>
      </w:r>
    </w:p>
    <w:p>
      <w:pPr>
        <w:pStyle w:val="Normal"/>
        <w:spacing w:lineRule="auto" w:line="360"/>
        <w:ind w:firstLine="709"/>
        <w:jc w:val="both"/>
        <w:rPr>
          <w:rFonts w:eastAsia="Times New Roman"/>
          <w:sz w:val="28"/>
          <w:szCs w:val="28"/>
        </w:rPr>
      </w:pPr>
      <w:r>
        <w:rPr>
          <w:rFonts w:eastAsia="Times New Roman"/>
          <w:sz w:val="28"/>
          <w:szCs w:val="28"/>
        </w:rPr>
        <w:t xml:space="preserve">- та профессия, в которой достигнута наивысшая квалификация. </w:t>
      </w:r>
    </w:p>
    <w:p>
      <w:pPr>
        <w:pStyle w:val="Normal"/>
        <w:spacing w:lineRule="auto" w:line="360"/>
        <w:ind w:firstLine="709"/>
        <w:jc w:val="both"/>
        <w:rPr>
          <w:rFonts w:eastAsia="Times New Roman"/>
          <w:sz w:val="28"/>
          <w:szCs w:val="28"/>
        </w:rPr>
      </w:pPr>
      <w:r>
        <w:rPr>
          <w:rFonts w:eastAsia="Times New Roman"/>
          <w:sz w:val="28"/>
          <w:szCs w:val="28"/>
        </w:rPr>
        <w:t xml:space="preserve">В заключение характеристики объективной стороны причинения тяжкого вреда здоровью необходимо сказать, что данное деяние считается оконченным при наступлении одного из выше перечисленных последствий. </w:t>
      </w:r>
    </w:p>
    <w:p>
      <w:pPr>
        <w:pStyle w:val="Normal"/>
        <w:spacing w:lineRule="auto" w:line="360"/>
        <w:ind w:firstLine="709"/>
        <w:jc w:val="both"/>
        <w:rPr>
          <w:sz w:val="28"/>
          <w:szCs w:val="28"/>
        </w:rPr>
      </w:pPr>
      <w:r>
        <w:rPr>
          <w:sz w:val="28"/>
          <w:szCs w:val="28"/>
        </w:rPr>
        <w:t xml:space="preserve">Резюмируя сказанное, отметим, что объектом уголовно-правовой охраны преступления, предусмотренного ст. 111 УК РФ выступает здоровье человека. </w:t>
      </w:r>
    </w:p>
    <w:p>
      <w:pPr>
        <w:pStyle w:val="Normal"/>
        <w:spacing w:lineRule="auto" w:line="360"/>
        <w:ind w:firstLine="709"/>
        <w:jc w:val="both"/>
        <w:rPr>
          <w:sz w:val="28"/>
          <w:szCs w:val="28"/>
        </w:rPr>
      </w:pPr>
      <w:r>
        <w:rPr>
          <w:sz w:val="28"/>
          <w:szCs w:val="28"/>
        </w:rPr>
        <w:t xml:space="preserve">Объективная сторона причинения тяжкого вреда здоровью человека  может быть совершена как в форме действия, так и бездействия. Состав преступления, предусмотренного ст. 111 УК РФ, является материальным. </w:t>
      </w:r>
    </w:p>
    <w:p>
      <w:pPr>
        <w:pStyle w:val="Normal"/>
        <w:spacing w:lineRule="auto" w:line="360"/>
        <w:ind w:firstLine="709"/>
        <w:jc w:val="both"/>
        <w:rPr>
          <w:sz w:val="28"/>
          <w:szCs w:val="28"/>
        </w:rPr>
      </w:pPr>
      <w:r>
        <w:rPr>
          <w:sz w:val="28"/>
          <w:szCs w:val="28"/>
        </w:rPr>
        <w:t xml:space="preserve">Тяжкий вред здоровью может быть опасным и не опасным для жизни в момент причинения. Считаем, что тяжкий вред здоровью является опасным для жизни человека, если создает угрозу для жизни или вызывает развитие угрожающего жизни состояния. </w:t>
      </w:r>
    </w:p>
    <w:p>
      <w:pPr>
        <w:pStyle w:val="Normal"/>
        <w:spacing w:lineRule="auto" w:line="360"/>
        <w:ind w:firstLine="709"/>
        <w:jc w:val="both"/>
        <w:rPr>
          <w:sz w:val="28"/>
          <w:szCs w:val="28"/>
        </w:rPr>
      </w:pPr>
      <w:r>
        <w:rPr>
          <w:sz w:val="28"/>
          <w:szCs w:val="28"/>
        </w:rPr>
        <w:t>Причинение тяжкого вреда, не опасного для жизни,  может сопровождаться потерей зрения, речи, слуха, какого-либо органа либо утратой органом его функций, прерыванием беременности, психическим расстройством, заболеванием наркоманией или токсикоманией, значительной стойкой утратой общей трудоспособности не менее чем на 1/3, полной утратой профессиональной трудоспособности.</w:t>
      </w:r>
    </w:p>
    <w:p>
      <w:pPr>
        <w:pStyle w:val="Normal"/>
        <w:spacing w:lineRule="auto" w:line="360"/>
        <w:ind w:firstLine="709"/>
        <w:jc w:val="both"/>
        <w:rPr>
          <w:sz w:val="28"/>
          <w:szCs w:val="28"/>
        </w:rPr>
      </w:pPr>
      <w:r>
        <w:rPr>
          <w:sz w:val="28"/>
          <w:szCs w:val="28"/>
        </w:rPr>
        <w:t xml:space="preserve">При этом необходимо отметить, что законодатель четко определяет, что к причинению тяжкого вреда здоровью относится неизгладимое обезображивание лица, а не других участков тела. Вместе с тем, на наш взгляд, было бы справедливым признавать тяжким вредом здоровью и неизгладимое обезображивание шеи в передней видимой части или волосистого покрова головы в целом, повреждения фронтальной группы зубного ряда. </w:t>
      </w:r>
    </w:p>
    <w:p>
      <w:pPr>
        <w:pStyle w:val="Normal"/>
        <w:spacing w:lineRule="auto" w:line="360"/>
        <w:ind w:firstLine="709"/>
        <w:jc w:val="both"/>
        <w:rPr>
          <w:sz w:val="28"/>
          <w:szCs w:val="28"/>
        </w:rPr>
      </w:pPr>
      <w:r>
        <w:rPr>
          <w:sz w:val="28"/>
          <w:szCs w:val="28"/>
        </w:rPr>
        <w:t>Степень обезображивания лица потерпевшего определяет суд, оценка которого может быть справедливой и несправедливой, исходя из его личных представлений о прекрасном и безобразном. По этой причине вряд ли правильным является наделение суда таким правом. На наш взгляд, подобное положение дел негативно сказывается на авторитете суда, поскольку законом судья наделяется несвойственной ему функцией обвинения.</w:t>
      </w:r>
    </w:p>
    <w:p>
      <w:pPr>
        <w:pStyle w:val="Normal"/>
        <w:spacing w:lineRule="auto" w:line="360"/>
        <w:ind w:firstLine="709"/>
        <w:jc w:val="both"/>
        <w:rPr>
          <w:sz w:val="28"/>
          <w:szCs w:val="28"/>
        </w:rPr>
      </w:pPr>
      <w:r>
        <w:rPr>
          <w:sz w:val="28"/>
          <w:szCs w:val="28"/>
        </w:rPr>
      </w:r>
    </w:p>
    <w:p>
      <w:pPr>
        <w:pStyle w:val="Normal"/>
        <w:spacing w:lineRule="auto" w:line="360"/>
        <w:jc w:val="center"/>
        <w:rPr>
          <w:b/>
          <w:b/>
          <w:sz w:val="28"/>
          <w:szCs w:val="28"/>
        </w:rPr>
      </w:pPr>
      <w:r>
        <w:rPr>
          <w:rFonts w:eastAsia="Times New Roman"/>
          <w:b/>
          <w:sz w:val="28"/>
          <w:szCs w:val="28"/>
        </w:rPr>
        <w:t>1.3 Субъективные признаки преступления, предусмотренного ст. 111 УК РФ</w:t>
      </w:r>
    </w:p>
    <w:p>
      <w:pPr>
        <w:pStyle w:val="Normal"/>
        <w:spacing w:lineRule="auto" w:line="360"/>
        <w:ind w:firstLine="709"/>
        <w:jc w:val="both"/>
        <w:rPr>
          <w:sz w:val="28"/>
          <w:szCs w:val="28"/>
        </w:rPr>
      </w:pPr>
      <w:r>
        <w:rPr>
          <w:sz w:val="28"/>
          <w:szCs w:val="28"/>
        </w:rPr>
      </w:r>
    </w:p>
    <w:p>
      <w:pPr>
        <w:pStyle w:val="Normal"/>
        <w:spacing w:lineRule="auto" w:line="360"/>
        <w:ind w:firstLine="709"/>
        <w:jc w:val="both"/>
        <w:rPr>
          <w:rFonts w:eastAsia="Times New Roman"/>
          <w:sz w:val="28"/>
          <w:szCs w:val="28"/>
        </w:rPr>
      </w:pPr>
      <w:r>
        <w:rPr>
          <w:rFonts w:eastAsia="Times New Roman"/>
          <w:sz w:val="28"/>
          <w:szCs w:val="28"/>
        </w:rPr>
        <w:t xml:space="preserve">Субъективная сторона преступления, предусмотренная ч.1,2,3 ст. 111 УК РФ выражается в вине в форме прямого или косвенного умысла. </w:t>
      </w:r>
    </w:p>
    <w:p>
      <w:pPr>
        <w:pStyle w:val="Normal"/>
        <w:spacing w:lineRule="auto" w:line="360"/>
        <w:ind w:firstLine="709"/>
        <w:jc w:val="both"/>
        <w:rPr>
          <w:rFonts w:eastAsia="Times New Roman"/>
          <w:sz w:val="28"/>
          <w:szCs w:val="28"/>
        </w:rPr>
      </w:pPr>
      <w:r>
        <w:rPr>
          <w:rFonts w:eastAsia="Times New Roman"/>
          <w:sz w:val="28"/>
          <w:szCs w:val="28"/>
        </w:rPr>
        <w:t>Если говорить конкретнее, то причинение тяжкого вреда здоровью признается совершенным с прямым умыслом, если будет доказано, что виновное лицо осознавало совершение противоправных действия или бездействия, способные причинить тяжкий вред здоровью потерпевшего, предвидело возможность или неизбежность причинения такого вреда и желало их наступления.</w:t>
      </w:r>
      <w:r>
        <w:rPr/>
        <w:t xml:space="preserve"> </w:t>
      </w:r>
      <w:r>
        <w:rPr>
          <w:rFonts w:eastAsia="Times New Roman"/>
          <w:sz w:val="28"/>
          <w:szCs w:val="28"/>
        </w:rPr>
        <w:t>Причинение тяжкого вреда здоровью признается совершенным с косвенным умыслом, если будет доказано, что виновное лицо осознавало совершение противоправных действия или бездействия, способные причинить тяжкий вред здоровью потерпевшего, предвидело возможность или неизбежность причинения такого вреда и сознательно допускало их причинение или безразлично относилось к факту их причинения.</w:t>
      </w:r>
    </w:p>
    <w:p>
      <w:pPr>
        <w:pStyle w:val="Normal"/>
        <w:spacing w:lineRule="auto" w:line="360"/>
        <w:ind w:firstLine="709"/>
        <w:jc w:val="both"/>
        <w:rPr>
          <w:rFonts w:eastAsia="Times New Roman"/>
          <w:sz w:val="28"/>
          <w:szCs w:val="28"/>
        </w:rPr>
      </w:pPr>
      <w:r>
        <w:rPr>
          <w:rFonts w:eastAsia="Times New Roman"/>
          <w:sz w:val="28"/>
          <w:szCs w:val="28"/>
        </w:rPr>
        <w:t>Следует несколько слов сказать об особенностях умысла при причинении тяжкого вреда здоровью. На страницах печати зачастую упоминается именно реальная возможность наступления вредных последствий. А это означает, что виновный рассматривает тяжкий вред здоровью, нанесенного потерпевшему, закономерным следствием от совершаемых виновным лицом противоправных действий или бездействий. Причинитель тяжкого вреда здоровью должен осознанно допускать наступление вредных последствий и реально, а не абстрактно предвидеть их наступление.</w:t>
      </w:r>
    </w:p>
    <w:p>
      <w:pPr>
        <w:pStyle w:val="Normal"/>
        <w:spacing w:lineRule="auto" w:line="360"/>
        <w:ind w:firstLine="709"/>
        <w:jc w:val="both"/>
        <w:rPr>
          <w:rFonts w:eastAsia="Times New Roman"/>
          <w:sz w:val="28"/>
          <w:szCs w:val="28"/>
        </w:rPr>
      </w:pPr>
      <w:r>
        <w:rPr>
          <w:rFonts w:eastAsia="Times New Roman"/>
          <w:sz w:val="28"/>
          <w:szCs w:val="28"/>
        </w:rPr>
        <w:t>Общепризнано, что основное различие между прямым и косвенным умыслом заключается в волевом элементе вины. Если при прямом умысле лицо  желало наступления тяжкого вреда здоровью, то при косвенном – сознательно допускало его причинение или безразлично относилось к факту его причинения. Именно этот аспект позволяет рассматривать уголовное посягательство с косвенным умыслом как менее общественно-опасное деяние, нежели аналогичное деяние, совершенное с прямым умыслом.</w:t>
      </w:r>
    </w:p>
    <w:p>
      <w:pPr>
        <w:pStyle w:val="Normal"/>
        <w:spacing w:lineRule="auto" w:line="360"/>
        <w:ind w:firstLine="709"/>
        <w:jc w:val="both"/>
        <w:rPr>
          <w:sz w:val="28"/>
          <w:szCs w:val="28"/>
        </w:rPr>
      </w:pPr>
      <w:r>
        <w:rPr>
          <w:rFonts w:eastAsia="Times New Roman"/>
          <w:sz w:val="28"/>
          <w:szCs w:val="28"/>
        </w:rPr>
        <w:t>Умысел может быть, как конкретизированным, так и неконкретизированным, при котором виновный несет ответственность в соответствии с фактически наступившими последствиями.</w:t>
      </w:r>
    </w:p>
    <w:p>
      <w:pPr>
        <w:pStyle w:val="Normal"/>
        <w:spacing w:lineRule="auto" w:line="360"/>
        <w:ind w:firstLine="709"/>
        <w:jc w:val="both"/>
        <w:rPr>
          <w:sz w:val="28"/>
          <w:szCs w:val="28"/>
        </w:rPr>
      </w:pPr>
      <w:r>
        <w:rPr>
          <w:rFonts w:eastAsia="Times New Roman"/>
          <w:sz w:val="28"/>
          <w:szCs w:val="28"/>
        </w:rPr>
        <w:t xml:space="preserve">Мотивы и цели не являются основными признаками субъективно стороны рассматриваемого преступления. Поэтому выявленные мотивы (например, месть, ревность, зависть, личная неприязнь и т.п.) и цели причинения тяжкого вреда здоровью на квалификацию не влияют. </w:t>
      </w:r>
    </w:p>
    <w:p>
      <w:pPr>
        <w:pStyle w:val="Normal"/>
        <w:spacing w:lineRule="auto" w:line="360"/>
        <w:ind w:firstLine="709"/>
        <w:jc w:val="both"/>
        <w:rPr>
          <w:sz w:val="28"/>
          <w:szCs w:val="28"/>
        </w:rPr>
      </w:pPr>
      <w:r>
        <w:rPr>
          <w:rFonts w:eastAsia="Times New Roman"/>
          <w:sz w:val="28"/>
          <w:szCs w:val="28"/>
        </w:rPr>
        <w:t>Между тем в ряде случаев причинение телесного повреждения, опасного для жизни потерпевшего в момент его причинения, может говорить и об умысле лица на убийство. В подобных ситуациях правильная квалификация деяния зависит, прежде всего, направленности и степени конкретизации умысла виновного лица. Поэтому причинение тяжкого вреда здоровью, сопровождающееся прямым умыслом на убийство потерпевшего, при условии, что смерть потерпевшего все-таки не наступила необходимо квалифицировать как покушение на убийство. Однако ситуация меняется, если эти деяния были совершены с косвенным умыслом. В этом случае деяние следует квалифицировать как причинение тяжкого вреда здоровью, т.е. по ст. 111 УК РФ.</w:t>
      </w:r>
    </w:p>
    <w:p>
      <w:pPr>
        <w:pStyle w:val="Normal"/>
        <w:spacing w:lineRule="auto" w:line="360"/>
        <w:ind w:firstLine="709"/>
        <w:jc w:val="both"/>
        <w:rPr>
          <w:rFonts w:eastAsia="Times New Roman"/>
          <w:sz w:val="28"/>
          <w:szCs w:val="28"/>
        </w:rPr>
      </w:pPr>
      <w:r>
        <w:rPr>
          <w:rFonts w:eastAsia="Times New Roman"/>
          <w:sz w:val="28"/>
          <w:szCs w:val="28"/>
        </w:rPr>
        <w:t>В то же время судебная практика знает примеры, когда суд признавал виновным лицо, причинившее тяжкий вред здоровью по неосторожности. Так, гражданин Полетаев Д.А. 14.07.2016 года около 13 часов 30 минут, находясь в состоянии алкогольного опьянения в квартире, действуя умышленно в ходе внезапно возникших личных неприязненных отношений, нанес потерпевшей один удар ладонью по лицу, а также, действуя неосторожно, не предвидя возможности наступления последствий в виде тяжкого вреда здоровью, хотя при необходимой внимательности и предусмотрительности должен был, и мог их предвидеть, нанес потерпевшей один удар тыльной стороной ладони в живот, причинив ей согласно заключения эксперта кровоподтек лица справа, который не влечет за собой кратковременное расстройство здоровья или незначительную стойкую утрату общей трудоспособности, поэтому расценивается как повреждение, не причинившее вред здоровью, закрытую травму живота в виде разрыва селезенки, которая расценивается как тяжкий вред здоровью по признаку опасности для жизни</w:t>
      </w:r>
      <w:r>
        <w:rPr>
          <w:rStyle w:val="FootnoteCharacters"/>
          <w:rStyle w:val="Style16"/>
          <w:rFonts w:eastAsia="Times New Roman"/>
          <w:sz w:val="28"/>
          <w:szCs w:val="28"/>
        </w:rPr>
        <w:footnoteReference w:id="18"/>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В рамках темы работы необходимо затронуть проблему установления двойной формы вины в составе умышленного причинения тяжкого вреда здоровью, повлекшего по неосторожности смерть потерпевшего (ч. 4 ст. 111 УК). Сложность ситуации заключается в наличии двух самостоятельных преступлений, одно из которых совершенно умышленно, а второе – по неосторожности. При этом оба противоправных деяния вполне могут существовать самостоятельно, Однако сочетание двух преступлений друг с другом приводит к  совершению иного преступления со специфической субъективной стороной</w:t>
      </w:r>
      <w:r>
        <w:rPr>
          <w:rStyle w:val="FootnoteCharacters"/>
          <w:rStyle w:val="Style16"/>
          <w:rFonts w:eastAsia="Times New Roman"/>
          <w:sz w:val="28"/>
          <w:szCs w:val="28"/>
        </w:rPr>
        <w:footnoteReference w:id="19"/>
      </w:r>
      <w:r>
        <w:rPr>
          <w:rFonts w:eastAsia="Times New Roman"/>
          <w:sz w:val="28"/>
          <w:szCs w:val="28"/>
        </w:rPr>
        <w:t>. В частности, причинение тяжкого вреда, предусмотренного ч. 4 ст. 111 УК РФ, влечет с одной стороны тяжкий вред здоровью потерпевшего, а с другой, - наступление смерти потерпевшего.</w:t>
      </w:r>
    </w:p>
    <w:p>
      <w:pPr>
        <w:pStyle w:val="Normal"/>
        <w:tabs>
          <w:tab w:val="clear" w:pos="720"/>
          <w:tab w:val="left" w:pos="1880" w:leader="none"/>
          <w:tab w:val="left" w:pos="2320" w:leader="none"/>
          <w:tab w:val="left" w:pos="4740" w:leader="none"/>
          <w:tab w:val="left" w:pos="6700" w:leader="none"/>
          <w:tab w:val="left" w:pos="7820" w:leader="none"/>
          <w:tab w:val="left" w:pos="9480" w:leader="none"/>
        </w:tabs>
        <w:spacing w:lineRule="auto" w:line="360"/>
        <w:ind w:firstLine="709"/>
        <w:jc w:val="both"/>
        <w:rPr>
          <w:sz w:val="28"/>
          <w:szCs w:val="28"/>
        </w:rPr>
      </w:pPr>
      <w:r>
        <w:rPr>
          <w:rFonts w:eastAsia="Times New Roman"/>
          <w:sz w:val="28"/>
          <w:szCs w:val="28"/>
        </w:rPr>
        <w:t>Вина преступления, предусмотренного ч. 4 ст. 111 УК РФ определяется как некое сочетание в рамках единого психологического процесса умышленного отношения виновного лица к причинению тяжкого вреда здоровью потерпевшего и неосторожного – к последствию от этого – смерти потерпевшего</w:t>
      </w:r>
      <w:r>
        <w:rPr>
          <w:rStyle w:val="FootnoteCharacters"/>
          <w:rStyle w:val="Style16"/>
          <w:rFonts w:eastAsia="Times New Roman"/>
          <w:sz w:val="28"/>
          <w:szCs w:val="28"/>
        </w:rPr>
        <w:footnoteReference w:id="20"/>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 xml:space="preserve">Таким образом, преступление, предусмотренное ч. 4 ст. 111 УК РФ, предполагает наличие причинно-следственной связи между совершенным противоправным деянием, содержащем признаки основного преступления, и наступившими вредными дополнительными (производными) последствиями. Если вредные дополнительные (производные) последствия не укладываются в единую линию развития причинно-следственной связи, то совершенное деяние необходимо квалифицировать по совокупности статей, а не по ч. 4 ст. 111 УК РФ. </w:t>
      </w:r>
    </w:p>
    <w:p>
      <w:pPr>
        <w:pStyle w:val="Normal"/>
        <w:spacing w:lineRule="auto" w:line="360"/>
        <w:ind w:firstLine="709"/>
        <w:jc w:val="both"/>
        <w:rPr>
          <w:sz w:val="28"/>
          <w:szCs w:val="28"/>
        </w:rPr>
      </w:pPr>
      <w:r>
        <w:rPr>
          <w:rFonts w:eastAsia="Times New Roman"/>
          <w:sz w:val="28"/>
          <w:szCs w:val="28"/>
        </w:rPr>
        <w:t>Умышленное причинение тяжкого вреда здоровью может рассматриваться в качестве оконченного преступления (при наличии признаков, указанных в ч. ч. 1, 2 и 3 ст. 111 УК РФ) при причинении реальных вредных последствий. Однако в ряде случаев развитие причинной связи в этих преступлениях не ограничивается наступлением тяжкого вреда здоровью и тогда наступает производное последствие - смерть потерпевшего, не входящая в содержательную сферу умысла виновного. Здесь первое последствие и причинная связь между ними и противоправным деянием субъекта находятся в рамках основного умышленного преступления, а дополнительные последствия и причинная связь его с основным преступлением – за пределами умысла, а, следовательно, и за пределами основного преступления, они охватываются неосторожной формой вины. Эта характерная особенность сложного составного преступления, предусмотренного ч. 4 ст. 111 УК РФ, отличает его от идеальной совокупности преступлений, которая предусматривает совершение одним действием нескольких разнородных преступлений.</w:t>
      </w:r>
    </w:p>
    <w:p>
      <w:pPr>
        <w:pStyle w:val="Normal"/>
        <w:spacing w:lineRule="auto" w:line="360"/>
        <w:ind w:firstLine="709"/>
        <w:jc w:val="both"/>
        <w:rPr>
          <w:sz w:val="28"/>
          <w:szCs w:val="28"/>
        </w:rPr>
      </w:pPr>
      <w:r>
        <w:rPr>
          <w:rFonts w:eastAsia="Times New Roman"/>
          <w:sz w:val="28"/>
          <w:szCs w:val="28"/>
        </w:rPr>
        <w:t>Преступления с двумя формами вины являются умышленными, что предопределено умышленной формой вины в основном преступлении. Двойная форма вины в рассматриваемом преступлении может проявиться в одном из четырех сочетаний: прямой умысел - преступное легкомыслие; прямой умысел преступная  небрежность;  косвенный  умысел  -  преступное  легкомыслие; косвенный умысел - преступная небрежность. Из сказанного можно сделать вывод о том, что причинение тяжкого вреда здоровью может быть совершено как с прямым, так и с косвенным умыслом, а последствия в виде причинения смерти потерпевшему предполагают наличие неосторожности.</w:t>
      </w:r>
    </w:p>
    <w:p>
      <w:pPr>
        <w:pStyle w:val="Normal"/>
        <w:spacing w:lineRule="auto" w:line="360"/>
        <w:ind w:firstLine="709"/>
        <w:jc w:val="both"/>
        <w:rPr>
          <w:rFonts w:eastAsia="Times New Roman"/>
          <w:sz w:val="28"/>
          <w:szCs w:val="28"/>
        </w:rPr>
      </w:pPr>
      <w:r>
        <w:rPr>
          <w:rFonts w:eastAsia="Times New Roman"/>
          <w:sz w:val="28"/>
          <w:szCs w:val="28"/>
        </w:rPr>
        <w:t>Небрежность согласно закону - это непредвидение лицом возможности наступления общественно опасных последствий своих деяний, хотя при необходимой внимательности и предусмотрительности оно должно было и могло их предвидеть. Это означает, что лицо, причиняя тяжкий вред здоровью, обязано было предвидеть возможность наступления смерти. Субъективный критерий в рассматриваемом преступлении означает способность лица в конкретной ситуации, с учетом его индивидуальных качеств</w:t>
      </w:r>
      <w:r>
        <w:rPr>
          <w:rStyle w:val="FootnoteCharacters"/>
          <w:rStyle w:val="Style16"/>
          <w:rFonts w:eastAsia="Times New Roman"/>
          <w:sz w:val="28"/>
          <w:szCs w:val="28"/>
        </w:rPr>
        <w:footnoteReference w:id="21"/>
      </w:r>
      <w:r>
        <w:rPr>
          <w:rFonts w:eastAsia="Times New Roman"/>
          <w:sz w:val="28"/>
          <w:szCs w:val="28"/>
        </w:rPr>
        <w:t xml:space="preserve">, предвидеть возможность наступления смерти в результате причинения тяжкого вреда здоровью. </w:t>
      </w:r>
    </w:p>
    <w:p>
      <w:pPr>
        <w:pStyle w:val="Normal"/>
        <w:spacing w:lineRule="auto" w:line="360"/>
        <w:ind w:firstLine="709"/>
        <w:jc w:val="both"/>
        <w:rPr>
          <w:sz w:val="28"/>
          <w:szCs w:val="28"/>
        </w:rPr>
      </w:pPr>
      <w:r>
        <w:rPr>
          <w:rFonts w:eastAsia="Times New Roman"/>
          <w:sz w:val="28"/>
          <w:szCs w:val="28"/>
        </w:rPr>
        <w:t>О преступном легкомыслии как разновидности неосторожной формы вины можно говорить, если лицо, причиняя умышленно тяжкий вред здоровью, предвидело возможность наступления смерти потерпевшего, но без достаточных к тому оснований самонадеянно рассчитывало на предотвращение смерти. В этом случае лицо предвидит возможность наступления смерти, что отличает легкомыслие от небрежности. При легкомыслии предвидение наступления смерти отличается тем, что лицо не осознает действительного развития причинно-следственной связи между причинением тяжкого вреда здоровью и смертью потерпевшего, хотя могло осознать это. Наличие этого признака обусловливает специфику волевого элемента преступного легкомыслия. Виновный в этом случае относится отрицательно к смерти потерпевшего, его вполне удовлетворяет сам факт причинения тяжкого вреда здоровью.</w:t>
      </w:r>
    </w:p>
    <w:p>
      <w:pPr>
        <w:pStyle w:val="Normal"/>
        <w:spacing w:lineRule="auto" w:line="360"/>
        <w:ind w:firstLine="709"/>
        <w:jc w:val="both"/>
        <w:rPr>
          <w:sz w:val="28"/>
          <w:szCs w:val="28"/>
        </w:rPr>
      </w:pPr>
      <w:r>
        <w:rPr>
          <w:rFonts w:eastAsia="Times New Roman"/>
          <w:sz w:val="28"/>
          <w:szCs w:val="28"/>
        </w:rPr>
        <w:t>Виновный рассчитывает без достаточных к тому оснований на предотвращение смерти потерпевшего, а не просто надеется избежать смерти. Но этот расчет оказывается легкомысленным. Обстоятельства, на которые полагается субъект при преступном легкомыслии, могут быть самыми разнообразными. Это может быть умение, знание, опыт, мастерство, дневное время, близость медицинского учреждения и т.д.</w:t>
      </w:r>
    </w:p>
    <w:p>
      <w:pPr>
        <w:pStyle w:val="Normal"/>
        <w:spacing w:lineRule="auto" w:line="360"/>
        <w:ind w:firstLine="709"/>
        <w:jc w:val="both"/>
        <w:rPr>
          <w:sz w:val="28"/>
          <w:szCs w:val="28"/>
        </w:rPr>
      </w:pPr>
      <w:r>
        <w:rPr>
          <w:rFonts w:eastAsia="Times New Roman"/>
          <w:sz w:val="28"/>
          <w:szCs w:val="28"/>
        </w:rPr>
        <w:t>Между тем в юридической литературе встречается мнение, согласно которому квалификация преступлений, в которых признается «раздвоение» вины, связывается не с различием отношения лица к своим действиям и к последствиям этих действий, а с наличием двух последствий преступления - прямых и производных. Соответственно причинение тяжкого вреда здоровью человека, повлекшее его смерть, следует квалифицировать как преступление, совершенное с единственной формой вины - умыслом, который заключается в умышленном создании угрозы причинения смерти. Отношение же виновного к смерти потерпевшего не имеет самостоятельной формы вины</w:t>
      </w:r>
      <w:r>
        <w:rPr>
          <w:rStyle w:val="FootnoteCharacters"/>
          <w:rStyle w:val="Style16"/>
          <w:rFonts w:eastAsia="Times New Roman"/>
          <w:sz w:val="28"/>
          <w:szCs w:val="28"/>
        </w:rPr>
        <w:footnoteReference w:id="22"/>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В качестве субъекта причинения тяжкого вреда здоровью может выступать  вменяемое физическое лицо, достигшее 14-летнего возраста. На наш взгляд, такой возрастной порог вполне обоснован, поскольку к этому возрасту человек уже может давать себе отчет о том, какие общественно опасные действия он совершает и в чем их вредность.</w:t>
      </w:r>
    </w:p>
    <w:p>
      <w:pPr>
        <w:pStyle w:val="Normal"/>
        <w:tabs>
          <w:tab w:val="clear" w:pos="720"/>
          <w:tab w:val="left" w:pos="2680" w:leader="none"/>
          <w:tab w:val="left" w:pos="4140" w:leader="none"/>
          <w:tab w:val="left" w:pos="6340" w:leader="none"/>
          <w:tab w:val="left" w:pos="6800" w:leader="none"/>
          <w:tab w:val="left" w:pos="8280" w:leader="none"/>
        </w:tabs>
        <w:spacing w:lineRule="auto" w:line="360"/>
        <w:ind w:firstLine="709"/>
        <w:jc w:val="both"/>
        <w:rPr>
          <w:sz w:val="28"/>
          <w:szCs w:val="28"/>
        </w:rPr>
      </w:pPr>
      <w:r>
        <w:rPr>
          <w:sz w:val="28"/>
          <w:szCs w:val="28"/>
        </w:rPr>
        <w:t>Подводя итог вышесказанному, подчеркнем еще раз, что субъективная сторона преступления, предусмотренная ч.1,2,3 ст. 111 УК РФ выражается в вине в форме прямого или косвенного умысла. Виновный рассматривает тяжкий вред здоровью, нанесенного потерпевшему, закономерным следствием от совершаемых виновным лицом противоправных действий или бездействий. Причинитель тяжкого вреда здоровью должен осознанно допускать наступление вредных последствий и реально, а не абстрактно предвидеть их наступление.</w:t>
      </w:r>
    </w:p>
    <w:p>
      <w:pPr>
        <w:pStyle w:val="Normal"/>
        <w:tabs>
          <w:tab w:val="clear" w:pos="720"/>
          <w:tab w:val="left" w:pos="2680" w:leader="none"/>
          <w:tab w:val="left" w:pos="4140" w:leader="none"/>
          <w:tab w:val="left" w:pos="6340" w:leader="none"/>
          <w:tab w:val="left" w:pos="6800" w:leader="none"/>
          <w:tab w:val="left" w:pos="8280" w:leader="none"/>
        </w:tabs>
        <w:spacing w:lineRule="auto" w:line="360"/>
        <w:ind w:firstLine="709"/>
        <w:jc w:val="both"/>
        <w:rPr>
          <w:sz w:val="28"/>
          <w:szCs w:val="28"/>
        </w:rPr>
      </w:pPr>
      <w:r>
        <w:rPr>
          <w:sz w:val="28"/>
          <w:szCs w:val="28"/>
        </w:rPr>
        <w:t xml:space="preserve">Между тем в ряде случаев причинение телесного повреждения, опасного для жизни потерпевшего в момент его причинения, может говорить и об умысле лица на убийство. В подобных ситуациях правильная квалификация деяния зависит, прежде всего, направленности и степени конкретизации умысла виновного лица. </w:t>
      </w:r>
    </w:p>
    <w:p>
      <w:pPr>
        <w:pStyle w:val="Normal"/>
        <w:tabs>
          <w:tab w:val="clear" w:pos="720"/>
          <w:tab w:val="left" w:pos="2680" w:leader="none"/>
          <w:tab w:val="left" w:pos="4140" w:leader="none"/>
          <w:tab w:val="left" w:pos="6340" w:leader="none"/>
          <w:tab w:val="left" w:pos="6800" w:leader="none"/>
          <w:tab w:val="left" w:pos="8280" w:leader="none"/>
        </w:tabs>
        <w:spacing w:lineRule="auto" w:line="360"/>
        <w:ind w:firstLine="709"/>
        <w:jc w:val="both"/>
        <w:rPr>
          <w:sz w:val="28"/>
          <w:szCs w:val="28"/>
        </w:rPr>
      </w:pPr>
      <w:r>
        <w:rPr>
          <w:sz w:val="28"/>
          <w:szCs w:val="28"/>
        </w:rPr>
        <w:t>Вина преступления, предусмотренного ч. 4 ст. 111 УК РФ определяется как некое сочетание в рамках единого психологического процесса умышленного отношения виновного лица к причинению тяжкого вреда здоровью потерпевшего и неосторожного – к последствию от этого – смерти потерпевшего. Между тем в юридической литературе встречается мнение, согласно которому причинение тяжкого вреда здоровью человека, повлекшее его смерть, следует квалифицировать как преступление, совершенное с единственной формой вины - умыслом, который заключается в умышленном создании угрозы причинения смерти. На наш взгляд, правильнее было бы считать преступление, предусмотренное ч. 4 ст. 111 УК РФ, преступлением с двумя формами вины.</w:t>
      </w:r>
    </w:p>
    <w:p>
      <w:pPr>
        <w:pStyle w:val="Normal"/>
        <w:tabs>
          <w:tab w:val="clear" w:pos="720"/>
          <w:tab w:val="left" w:pos="2680" w:leader="none"/>
          <w:tab w:val="left" w:pos="4140" w:leader="none"/>
          <w:tab w:val="left" w:pos="6340" w:leader="none"/>
          <w:tab w:val="left" w:pos="6800" w:leader="none"/>
          <w:tab w:val="left" w:pos="8280" w:leader="none"/>
        </w:tabs>
        <w:spacing w:lineRule="auto" w:line="360"/>
        <w:ind w:firstLine="709"/>
        <w:jc w:val="both"/>
        <w:rPr>
          <w:sz w:val="28"/>
          <w:szCs w:val="28"/>
        </w:rPr>
      </w:pPr>
      <w:r>
        <w:rPr>
          <w:sz w:val="28"/>
          <w:szCs w:val="28"/>
        </w:rPr>
        <w:t xml:space="preserve">В качестве субъекта причинения тяжкого вреда здоровью может выступать  вменяемое физическое лицо, достигшее 14-летнего возраста. </w:t>
      </w:r>
    </w:p>
    <w:p>
      <w:pPr>
        <w:pStyle w:val="Normal"/>
        <w:tabs>
          <w:tab w:val="clear" w:pos="720"/>
          <w:tab w:val="left" w:pos="2680" w:leader="none"/>
          <w:tab w:val="left" w:pos="4140" w:leader="none"/>
          <w:tab w:val="left" w:pos="6340" w:leader="none"/>
          <w:tab w:val="left" w:pos="6800" w:leader="none"/>
          <w:tab w:val="left" w:pos="8280" w:leader="none"/>
        </w:tabs>
        <w:spacing w:lineRule="auto" w:line="360"/>
        <w:ind w:firstLine="709"/>
        <w:jc w:val="both"/>
        <w:rPr>
          <w:sz w:val="28"/>
          <w:szCs w:val="28"/>
        </w:rPr>
      </w:pPr>
      <w:r>
        <w:rPr>
          <w:sz w:val="28"/>
          <w:szCs w:val="28"/>
        </w:rPr>
      </w:r>
    </w:p>
    <w:p>
      <w:pPr>
        <w:pStyle w:val="ListParagraph"/>
        <w:numPr>
          <w:ilvl w:val="1"/>
          <w:numId w:val="1"/>
        </w:numPr>
        <w:tabs>
          <w:tab w:val="clear" w:pos="720"/>
          <w:tab w:val="left" w:pos="1660" w:leader="none"/>
        </w:tabs>
        <w:spacing w:lineRule="auto" w:line="360"/>
        <w:jc w:val="center"/>
        <w:rPr>
          <w:b/>
          <w:b/>
          <w:sz w:val="28"/>
          <w:szCs w:val="28"/>
        </w:rPr>
      </w:pPr>
      <w:r>
        <w:rPr>
          <w:rFonts w:eastAsia="Times New Roman"/>
          <w:b/>
          <w:sz w:val="28"/>
          <w:szCs w:val="28"/>
        </w:rPr>
        <w:t xml:space="preserve"> </w:t>
      </w:r>
      <w:r>
        <w:rPr>
          <w:rFonts w:eastAsia="Times New Roman"/>
          <w:b/>
          <w:sz w:val="28"/>
          <w:szCs w:val="28"/>
        </w:rPr>
        <w:t>Квалифицирующие признаки I, II и III степени ст. 111 УК РФ</w:t>
      </w:r>
    </w:p>
    <w:p>
      <w:pPr>
        <w:pStyle w:val="Normal"/>
        <w:spacing w:lineRule="auto" w:line="360"/>
        <w:ind w:firstLine="709"/>
        <w:jc w:val="both"/>
        <w:rPr>
          <w:sz w:val="28"/>
          <w:szCs w:val="28"/>
        </w:rPr>
      </w:pPr>
      <w:r>
        <w:rPr>
          <w:sz w:val="28"/>
          <w:szCs w:val="28"/>
        </w:rPr>
      </w:r>
    </w:p>
    <w:p>
      <w:pPr>
        <w:pStyle w:val="Normal"/>
        <w:tabs>
          <w:tab w:val="clear" w:pos="720"/>
          <w:tab w:val="left" w:pos="1342" w:leader="none"/>
        </w:tabs>
        <w:spacing w:lineRule="auto" w:line="360"/>
        <w:ind w:firstLine="709"/>
        <w:jc w:val="both"/>
        <w:rPr>
          <w:rFonts w:eastAsia="Times New Roman"/>
          <w:sz w:val="28"/>
          <w:szCs w:val="28"/>
        </w:rPr>
      </w:pPr>
      <w:r>
        <w:rPr>
          <w:rFonts w:eastAsia="Times New Roman"/>
          <w:sz w:val="28"/>
          <w:szCs w:val="28"/>
        </w:rPr>
        <w:t xml:space="preserve">Квалифицирующие признаки </w:t>
      </w:r>
      <w:r>
        <w:rPr>
          <w:rFonts w:eastAsia="Times New Roman"/>
          <w:sz w:val="28"/>
          <w:szCs w:val="28"/>
          <w:lang w:val="en-US"/>
        </w:rPr>
        <w:t>I</w:t>
      </w:r>
      <w:r>
        <w:rPr>
          <w:rFonts w:eastAsia="Times New Roman"/>
          <w:sz w:val="28"/>
          <w:szCs w:val="28"/>
        </w:rPr>
        <w:t xml:space="preserve"> степени нормативно закреплены в ч. 2 ст. 111 УК РФ. Среди них законодатель, прежде всего, определяет причинение тяжкого вреда здоровью в отношении лица или его близких в связи с осуществлением данным лицом служебной деятельности или выполнением общественного долга (п. «а» ч. 2 ст. 111 УК). </w:t>
      </w:r>
    </w:p>
    <w:p>
      <w:pPr>
        <w:pStyle w:val="Normal"/>
        <w:tabs>
          <w:tab w:val="clear" w:pos="720"/>
          <w:tab w:val="left" w:pos="1342" w:leader="none"/>
        </w:tabs>
        <w:spacing w:lineRule="auto" w:line="360"/>
        <w:ind w:firstLine="709"/>
        <w:jc w:val="both"/>
        <w:rPr>
          <w:sz w:val="28"/>
          <w:szCs w:val="28"/>
        </w:rPr>
      </w:pPr>
      <w:r>
        <w:rPr>
          <w:rFonts w:eastAsia="Times New Roman"/>
          <w:sz w:val="28"/>
          <w:szCs w:val="28"/>
        </w:rPr>
        <w:t>Анализ юридической практики показал, что зачастую совершение вышеуказанного деяния происходит в отношении не столько тех субъектов, которые осуществляют служебную деятельность или общественный долг, сколько в отношении их близких. Основной целью виновного выступает воспрепятствование выполнению нежелательной для него правомерной служебной или общественной деятельности потерпевшего. Однако следует оговориться, что в случае воспрепятствования выполнению незаконной служебной или общественной деятельности потерпевшего, подобные деяния не образуют юридический состав преступления, предусмотренного ст. 111 УК РФ. При этом служебная деятельность должна представлять собой деятельность потерпевшего в государственном, общественном или частном учреждении, организации по выполнению служебных обязанностей, предусмотренных трудовым договором (контрактом). К выполнению общественного долга относится осуществление гражданином специально возложенных на него общественных обязанностей либо иных действий в интересах общества или отдельных лиц.</w:t>
      </w:r>
    </w:p>
    <w:p>
      <w:pPr>
        <w:pStyle w:val="Normal"/>
        <w:spacing w:lineRule="auto" w:line="360"/>
        <w:ind w:firstLine="709"/>
        <w:jc w:val="both"/>
        <w:rPr>
          <w:rFonts w:eastAsia="Times New Roman"/>
          <w:sz w:val="28"/>
          <w:szCs w:val="28"/>
        </w:rPr>
      </w:pPr>
      <w:r>
        <w:rPr>
          <w:rFonts w:eastAsia="Times New Roman"/>
          <w:sz w:val="28"/>
          <w:szCs w:val="28"/>
        </w:rPr>
        <w:t xml:space="preserve">Важно подчеркнуть, что квалификации преступного деяния по п. «а» ч. 2 ст. 111 УК РФ не играет роли, совершено ли преступление в ходе исполнения потерпевшим служебных или общественных обязанностей или это произошло в иной момент. Значение имеет лишь факт того, что поводом для причинения тяжкого вреда здоровья послужили служебная деятельность или общественный долг потерпевшего. </w:t>
      </w:r>
    </w:p>
    <w:p>
      <w:pPr>
        <w:pStyle w:val="Normal"/>
        <w:spacing w:lineRule="auto" w:line="360"/>
        <w:ind w:firstLine="709"/>
        <w:jc w:val="both"/>
        <w:rPr>
          <w:sz w:val="28"/>
          <w:szCs w:val="28"/>
        </w:rPr>
      </w:pPr>
      <w:r>
        <w:rPr>
          <w:rFonts w:eastAsia="Times New Roman"/>
          <w:sz w:val="28"/>
          <w:szCs w:val="28"/>
        </w:rPr>
        <w:t xml:space="preserve">В качестве потерпевшей стороны могут быть исполнители служебных и общественных функций, а также их близкие. Причем под последними понимаются не только родственники (близкие или дальние), но и лица, жизнь, здоровье и благополучие которых дороги потерпевшему в силу сложившихся личных отношений, о чем виновный заведомо знает. </w:t>
      </w:r>
    </w:p>
    <w:p>
      <w:pPr>
        <w:pStyle w:val="Normal"/>
        <w:spacing w:lineRule="auto" w:line="360"/>
        <w:ind w:firstLine="709"/>
        <w:jc w:val="both"/>
        <w:rPr>
          <w:rFonts w:eastAsia="Times New Roman"/>
          <w:sz w:val="28"/>
          <w:szCs w:val="28"/>
        </w:rPr>
      </w:pPr>
      <w:r>
        <w:rPr>
          <w:rFonts w:eastAsia="Times New Roman"/>
          <w:sz w:val="28"/>
          <w:szCs w:val="28"/>
        </w:rPr>
        <w:t>Пунктом «б» ч. 2 ст. 111 УК РФ предусмотрена ответственность за причинение тяжкого вреда здоровью малолетнему или иному лицу, заведомо для виновного находящемуся в беспомощном состоянии, а равно с особой жестокостью, издевательством или мучениями для потерпевшего. Под беспомощным состоянием понимается такое состояние, когда потерпевший в силу физических и психических особенностей не способен себя защитить, оказать активное сопротивление виновному, и последний, совершая убийство, сознает это обстоятельство</w:t>
      </w:r>
      <w:r>
        <w:rPr>
          <w:rStyle w:val="FootnoteCharacters"/>
          <w:rStyle w:val="Style16"/>
          <w:rFonts w:eastAsia="Times New Roman"/>
          <w:sz w:val="28"/>
          <w:szCs w:val="28"/>
        </w:rPr>
        <w:footnoteReference w:id="23"/>
      </w:r>
      <w:r>
        <w:rPr>
          <w:rFonts w:eastAsia="Times New Roman"/>
          <w:sz w:val="28"/>
          <w:szCs w:val="28"/>
        </w:rPr>
        <w:t xml:space="preserve">. К таким субъектам относятся тяжелобольные и престарелые лица, граждане, страдающие психическими расстройствами. </w:t>
      </w:r>
    </w:p>
    <w:p>
      <w:pPr>
        <w:pStyle w:val="Normal"/>
        <w:spacing w:lineRule="auto" w:line="360"/>
        <w:ind w:firstLine="709"/>
        <w:jc w:val="both"/>
        <w:rPr>
          <w:rFonts w:eastAsia="Times New Roman"/>
          <w:sz w:val="28"/>
          <w:szCs w:val="28"/>
        </w:rPr>
      </w:pPr>
      <w:r>
        <w:rPr>
          <w:rFonts w:eastAsia="Times New Roman"/>
          <w:sz w:val="28"/>
          <w:szCs w:val="28"/>
        </w:rPr>
        <w:t xml:space="preserve">Для квалификации преступного деяния по п. «б» ч. 2 ст. 111 УК РФ важно, чтобы потерпевший изначально находился в беспомощном состоянии, а не был приведен в него действиями виновного. Однако можно ли рассматривать лиц, находящихся в беспомощном состоянии во время сна или сильной степени опьянения? Ответы на данный вопрос среди теоретиков и практиков отличаются. По данному поводу в судебной практике также нет однозначного подхода. На наш взгляд, беспомощное состояние может быть в силу различных обстоятельств и причин, которые должны быть четко нормативно закреплены. </w:t>
      </w:r>
    </w:p>
    <w:p>
      <w:pPr>
        <w:pStyle w:val="Normal"/>
        <w:spacing w:lineRule="auto" w:line="360"/>
        <w:ind w:firstLine="709"/>
        <w:jc w:val="both"/>
        <w:rPr>
          <w:rFonts w:eastAsia="Times New Roman"/>
          <w:sz w:val="28"/>
          <w:szCs w:val="28"/>
        </w:rPr>
      </w:pPr>
      <w:r>
        <w:rPr>
          <w:rFonts w:eastAsia="Times New Roman"/>
          <w:sz w:val="28"/>
          <w:szCs w:val="28"/>
        </w:rPr>
        <w:t>Понятие «особая жестокость» многозначно. Данной дефиницией могут охватываться:</w:t>
      </w:r>
    </w:p>
    <w:p>
      <w:pPr>
        <w:pStyle w:val="Normal"/>
        <w:spacing w:lineRule="auto" w:line="360"/>
        <w:ind w:firstLine="709"/>
        <w:jc w:val="both"/>
        <w:rPr>
          <w:rFonts w:eastAsia="Times New Roman"/>
          <w:sz w:val="28"/>
          <w:szCs w:val="28"/>
        </w:rPr>
      </w:pPr>
      <w:r>
        <w:rPr>
          <w:rFonts w:eastAsia="Times New Roman"/>
          <w:sz w:val="28"/>
          <w:szCs w:val="28"/>
        </w:rPr>
        <w:t>- способ действия виновного, например, пытка и др., который заведомо связан с причинением потерпевшему особых страданий;</w:t>
      </w:r>
    </w:p>
    <w:p>
      <w:pPr>
        <w:pStyle w:val="Normal"/>
        <w:spacing w:lineRule="auto" w:line="360"/>
        <w:ind w:firstLine="709"/>
        <w:jc w:val="both"/>
        <w:rPr>
          <w:rFonts w:eastAsia="Times New Roman"/>
          <w:sz w:val="28"/>
          <w:szCs w:val="28"/>
        </w:rPr>
      </w:pPr>
      <w:r>
        <w:rPr>
          <w:rFonts w:eastAsia="Times New Roman"/>
          <w:sz w:val="28"/>
          <w:szCs w:val="28"/>
        </w:rPr>
        <w:t>- обстоятельства, свидетельствующие о проявлении виновным особой жестокости.</w:t>
      </w:r>
    </w:p>
    <w:p>
      <w:pPr>
        <w:pStyle w:val="Normal"/>
        <w:spacing w:lineRule="auto" w:line="360"/>
        <w:ind w:firstLine="709"/>
        <w:jc w:val="both"/>
        <w:rPr>
          <w:sz w:val="28"/>
          <w:szCs w:val="28"/>
        </w:rPr>
      </w:pPr>
      <w:r>
        <w:rPr>
          <w:rFonts w:eastAsia="Times New Roman"/>
          <w:sz w:val="28"/>
          <w:szCs w:val="28"/>
        </w:rPr>
        <w:t>Особая жестокость зачастую сопровождается нанесением большого количества телесных повреждений, прижиганием током или огнем и т. д.</w:t>
      </w:r>
      <w:r>
        <w:rPr>
          <w:rStyle w:val="FootnoteCharacters"/>
          <w:rStyle w:val="Style16"/>
          <w:rFonts w:eastAsia="Times New Roman"/>
          <w:sz w:val="28"/>
          <w:szCs w:val="28"/>
        </w:rPr>
        <w:footnoteReference w:id="24"/>
      </w:r>
    </w:p>
    <w:p>
      <w:pPr>
        <w:pStyle w:val="Normal"/>
        <w:tabs>
          <w:tab w:val="clear" w:pos="720"/>
          <w:tab w:val="left" w:pos="1600" w:leader="none"/>
          <w:tab w:val="left" w:pos="2960" w:leader="none"/>
          <w:tab w:val="left" w:pos="6300" w:leader="none"/>
          <w:tab w:val="left" w:pos="9220" w:leader="none"/>
        </w:tabs>
        <w:spacing w:lineRule="auto" w:line="360"/>
        <w:ind w:firstLine="709"/>
        <w:jc w:val="both"/>
        <w:rPr>
          <w:rFonts w:eastAsia="Times New Roman"/>
          <w:sz w:val="28"/>
          <w:szCs w:val="28"/>
        </w:rPr>
      </w:pPr>
      <w:r>
        <w:rPr>
          <w:rFonts w:eastAsia="Times New Roman"/>
          <w:sz w:val="28"/>
          <w:szCs w:val="28"/>
        </w:rPr>
        <w:t xml:space="preserve">Что же касается мучений и издевательств как способов  причинения </w:t>
      </w:r>
      <w:r>
        <w:rPr>
          <w:sz w:val="28"/>
          <w:szCs w:val="28"/>
        </w:rPr>
        <w:t xml:space="preserve">тяжкого </w:t>
      </w:r>
      <w:r>
        <w:rPr>
          <w:rFonts w:eastAsia="Times New Roman"/>
          <w:sz w:val="28"/>
          <w:szCs w:val="28"/>
        </w:rPr>
        <w:t xml:space="preserve">вреда здоровью, то под таковыми понимаются действия, причиняющие страдания путем длительного лишения пищи, питья или тепла либо оставление потерпевшего во вредных для здоровья условиях и пр. Между тем при квалификации преступного деяния по пункту «б» ч. 2 ст. 111 УК РФ достаточно зафиксировать судебно-медицинским экспертом факты применения таких способов причинения вреда здоровью как мучения и издевательства. </w:t>
      </w:r>
    </w:p>
    <w:p>
      <w:pPr>
        <w:pStyle w:val="Normal"/>
        <w:spacing w:lineRule="auto" w:line="360"/>
        <w:ind w:firstLine="709"/>
        <w:jc w:val="both"/>
        <w:rPr>
          <w:rFonts w:eastAsia="Times New Roman"/>
          <w:sz w:val="28"/>
          <w:szCs w:val="28"/>
        </w:rPr>
      </w:pPr>
      <w:r>
        <w:rPr>
          <w:rFonts w:eastAsia="Times New Roman"/>
          <w:sz w:val="28"/>
          <w:szCs w:val="28"/>
        </w:rPr>
        <w:t xml:space="preserve">При этом вышеуказанные способы совершения преступления необходимо отличать от причинения тяжкого вреда здоровью потерпевшему общеопасным способом совершения деяния, который квалифицируется по п. «в» ч. 2 ст. УК РФ. В последнем случае важное значение придается орудиям и средствам, с помощью которых совершается преступное деяние. Преступление считается совершенным общеопасным способом, если в ходе уголовного посягательство на здоровье потерпевшего применялись взрывчатые, ядовитые вещества, отравляющие газы, совершались поджоги, обвалы, затопления, использовалось огнестрельное оружие в толпе и т. д. </w:t>
      </w:r>
    </w:p>
    <w:p>
      <w:pPr>
        <w:pStyle w:val="Normal"/>
        <w:spacing w:lineRule="auto" w:line="360"/>
        <w:ind w:firstLine="709"/>
        <w:jc w:val="both"/>
        <w:rPr>
          <w:rFonts w:eastAsia="Times New Roman"/>
          <w:sz w:val="28"/>
          <w:szCs w:val="28"/>
        </w:rPr>
      </w:pPr>
      <w:r>
        <w:rPr>
          <w:rFonts w:eastAsia="Times New Roman"/>
          <w:sz w:val="28"/>
          <w:szCs w:val="28"/>
        </w:rPr>
        <w:t>При этом для квалификации по п. «в» ч. 2 ст. 111 УК РФ значение придается не только свойствам орудия преступления, но обстановке, в которой было совершено противоправное деяние. По этой причине на практике к общеопасному способу причинения тяжкого вреда здоровья относится использование транспортных средств при наезде на толпу людей с целью причинить вред здоровью конкретного человека. В результате таких действий причиняется тяжкий вред не только конкретной жертве, но и другим посторонним лицам, которые оказались рядом с жертвой преступления.</w:t>
      </w:r>
    </w:p>
    <w:p>
      <w:pPr>
        <w:pStyle w:val="Normal"/>
        <w:spacing w:lineRule="auto" w:line="360"/>
        <w:ind w:firstLine="709"/>
        <w:jc w:val="both"/>
        <w:rPr>
          <w:sz w:val="28"/>
          <w:szCs w:val="28"/>
        </w:rPr>
      </w:pPr>
      <w:r>
        <w:rPr>
          <w:rFonts w:eastAsia="Times New Roman"/>
          <w:sz w:val="28"/>
          <w:szCs w:val="28"/>
        </w:rPr>
        <w:t>Для квалификации причинения тяжкого вреда здоровью, совершенного по найму (п. «г» ч. 2 ст. 111 УК), необходимо, чтобы виновный стремился получить материальную выгоду либо иное вознаграждение. Действия организаторов, подстрекателей и пособников данного преступления должны квалифицироваться по соответствующей части ст. 33 и п. «г» ч. 2 ст. 111 УК РФ.</w:t>
      </w:r>
    </w:p>
    <w:p>
      <w:pPr>
        <w:pStyle w:val="Normal"/>
        <w:spacing w:lineRule="auto" w:line="360"/>
        <w:ind w:firstLine="709"/>
        <w:jc w:val="both"/>
        <w:rPr>
          <w:sz w:val="28"/>
          <w:szCs w:val="28"/>
        </w:rPr>
      </w:pPr>
      <w:r>
        <w:rPr>
          <w:rFonts w:eastAsia="Times New Roman"/>
          <w:sz w:val="28"/>
          <w:szCs w:val="28"/>
        </w:rPr>
        <w:t>Пунктом «д» ч. 2 ст. 111 УК РФ предусмотрена ответственность за причинение тяжкого вреда здоровью из хулиганских побуждений. Особенностью данного деяния выступает демонстрация виновным явного неуважения и пренебрежение к обществу и общепринятым моральным нормам, что обусловлено желанием противопоставить себя окружающим. По этой причине совершение уголовного посягательства происходит при отсутствии у виновного какого-либо повода или конкретной цели. Вместе с тем при посягательстве из хулиганских побуждений могут быть совершены иные умышленные действия, грубо нарушающие общественный порядок и выражающие явное неуважение к обществу. В таком случае необходимо проводить тщательную оценку юридического состава преступления, поскольку содеянное необходимо квалифицировать по совокупности по п. «д» ч. 2 ст. 111 и ст. 213 УК РФ.</w:t>
      </w:r>
    </w:p>
    <w:p>
      <w:pPr>
        <w:pStyle w:val="Normal"/>
        <w:spacing w:lineRule="auto" w:line="360"/>
        <w:ind w:firstLine="709"/>
        <w:jc w:val="both"/>
        <w:rPr>
          <w:rFonts w:eastAsia="Times New Roman"/>
          <w:sz w:val="28"/>
          <w:szCs w:val="28"/>
        </w:rPr>
      </w:pPr>
      <w:r>
        <w:rPr>
          <w:rFonts w:eastAsia="Times New Roman"/>
          <w:sz w:val="28"/>
          <w:szCs w:val="28"/>
        </w:rPr>
        <w:t>Причинение тяжкого вреда здоровью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предусмотренное п. «е» ч. 2 ст. 111 УК РФ, выражается:</w:t>
      </w:r>
    </w:p>
    <w:p>
      <w:pPr>
        <w:pStyle w:val="Normal"/>
        <w:spacing w:lineRule="auto" w:line="360"/>
        <w:ind w:firstLine="709"/>
        <w:jc w:val="both"/>
        <w:rPr>
          <w:rFonts w:eastAsia="Times New Roman"/>
          <w:sz w:val="28"/>
          <w:szCs w:val="28"/>
        </w:rPr>
      </w:pPr>
      <w:r>
        <w:rPr>
          <w:rFonts w:eastAsia="Times New Roman"/>
          <w:sz w:val="28"/>
          <w:szCs w:val="28"/>
        </w:rPr>
        <w:t>- в наличии специального мотива преступления;</w:t>
      </w:r>
    </w:p>
    <w:p>
      <w:pPr>
        <w:pStyle w:val="Normal"/>
        <w:spacing w:lineRule="auto" w:line="360"/>
        <w:ind w:firstLine="709"/>
        <w:jc w:val="both"/>
        <w:rPr>
          <w:sz w:val="28"/>
          <w:szCs w:val="28"/>
        </w:rPr>
      </w:pPr>
      <w:r>
        <w:rPr>
          <w:rFonts w:eastAsia="Times New Roman"/>
          <w:sz w:val="28"/>
          <w:szCs w:val="28"/>
        </w:rPr>
        <w:t>- в стремлении виновного продемонстрировать неполноценность потерпевшего либо подчеркнуть собственную исключительность в силу принадлежности к определенной расе, национальности или приверженности определенным политическим, идеологическим и религиозным взглядам.</w:t>
      </w:r>
    </w:p>
    <w:p>
      <w:pPr>
        <w:pStyle w:val="Normal"/>
        <w:spacing w:lineRule="auto" w:line="360"/>
        <w:ind w:firstLine="709"/>
        <w:jc w:val="both"/>
        <w:rPr>
          <w:sz w:val="28"/>
          <w:szCs w:val="28"/>
        </w:rPr>
      </w:pPr>
      <w:r>
        <w:rPr>
          <w:rFonts w:eastAsia="Times New Roman"/>
          <w:sz w:val="28"/>
          <w:szCs w:val="28"/>
        </w:rPr>
        <w:t>Особенностью данного вида преступления заключается в том, что особой роли для квалификации уголовного посягательства по п. «е» ч. 2 ст. 111 УК не имеет личность потерпевшего. И в этом можно усмотреть определенную схожесть причинения тяжкого вреда здоровью из хулиганских побуждений. Однако в отличие от последней разновидности причинение тяжкого вреда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имеет особую цель – выразить виновным свое неприязненное отношение к какой-либо нации, расе и религии. Тогда как причинение тяжкого вреда здоровью из хулиганских побуждений направлено на проявление противостояния общественному порядку. При этом тяжкий вред здоровью причиняется тем, кто находился поблизости. Что же касается мотива ненависти или вражды, то он может перерасти в действие не только по причине реакции субъекта на конкретного человека другой национальности, вероисповедания и расы, но и в силу агрессивного поведения преступника</w:t>
      </w:r>
      <w:r>
        <w:rPr>
          <w:rStyle w:val="FootnoteCharacters"/>
          <w:rStyle w:val="Style16"/>
          <w:rFonts w:eastAsia="Times New Roman"/>
          <w:sz w:val="28"/>
          <w:szCs w:val="28"/>
        </w:rPr>
        <w:footnoteReference w:id="25"/>
      </w:r>
      <w:r>
        <w:rPr>
          <w:rFonts w:eastAsia="Times New Roman"/>
          <w:sz w:val="28"/>
          <w:szCs w:val="28"/>
        </w:rPr>
        <w:t>.</w:t>
      </w:r>
    </w:p>
    <w:p>
      <w:pPr>
        <w:pStyle w:val="Normal"/>
        <w:spacing w:lineRule="auto" w:line="360"/>
        <w:ind w:firstLine="709"/>
        <w:jc w:val="both"/>
        <w:rPr>
          <w:sz w:val="28"/>
          <w:szCs w:val="28"/>
        </w:rPr>
      </w:pPr>
      <w:r>
        <w:rPr>
          <w:rFonts w:eastAsia="Times New Roman"/>
          <w:sz w:val="28"/>
          <w:szCs w:val="28"/>
        </w:rPr>
        <w:t>Вообще под политической ненавистью или враждой понимается негативное отношение к органам публичной власти, ее должностным лицам, политическим партиям и общественно-политическим движениям. Идеологическая ненависть или вражда выражается в нетерпимости к другим идеям и взглядам, а также к их носителям.</w:t>
      </w:r>
    </w:p>
    <w:p>
      <w:pPr>
        <w:pStyle w:val="Normal"/>
        <w:spacing w:lineRule="auto" w:line="360"/>
        <w:ind w:firstLine="709"/>
        <w:jc w:val="both"/>
        <w:rPr>
          <w:sz w:val="28"/>
          <w:szCs w:val="28"/>
        </w:rPr>
      </w:pPr>
      <w:r>
        <w:rPr>
          <w:rFonts w:eastAsia="Times New Roman"/>
          <w:sz w:val="28"/>
          <w:szCs w:val="28"/>
        </w:rPr>
        <w:t>В отличие политической и идеологической ненависти расовая, национальная или религиозная ненависть или вражда предполагают враждебное отношение или крайнюю неприязнь к представителям иных рас, национальностей, религиозным учениям и представителям религиозных организаций соответственно.</w:t>
      </w:r>
    </w:p>
    <w:p>
      <w:pPr>
        <w:pStyle w:val="Normal"/>
        <w:spacing w:lineRule="auto" w:line="360"/>
        <w:ind w:firstLine="709"/>
        <w:jc w:val="both"/>
        <w:rPr>
          <w:sz w:val="28"/>
          <w:szCs w:val="28"/>
        </w:rPr>
      </w:pPr>
      <w:r>
        <w:rPr>
          <w:rFonts w:eastAsia="Times New Roman"/>
          <w:sz w:val="28"/>
          <w:szCs w:val="28"/>
        </w:rPr>
        <w:t>Особенностью преступления, предусмотренного п. «е» ч. 2 ст. 111 УК, является и то, что оно может быть совершено по мотивам ненависти или вражды в отношении какой-либо социальной группы. Под последней понимается устойчивая совокупность большого числа людей, действующих совместно для достижения общих целей. В качестве таковых может быть группа студентов, пенсионеров и иная группа людей, причем не всегда социально значимая.</w:t>
      </w:r>
    </w:p>
    <w:p>
      <w:pPr>
        <w:pStyle w:val="Normal"/>
        <w:spacing w:lineRule="auto" w:line="360"/>
        <w:ind w:firstLine="709"/>
        <w:jc w:val="both"/>
        <w:rPr>
          <w:sz w:val="28"/>
          <w:szCs w:val="28"/>
        </w:rPr>
      </w:pPr>
      <w:r>
        <w:rPr>
          <w:rFonts w:eastAsia="Times New Roman"/>
          <w:sz w:val="28"/>
          <w:szCs w:val="28"/>
        </w:rPr>
        <w:t>Для причинения тяжкого вреда здоровью в целях использования органов или тканей потерпевшего, предусмотренного п. «ж» ч. 2 ст. 111 УК РФ, умыслом виновного не охватывается лишение жизни жертвы. Специфика данного уголовного посягательства заключается в причинении тяжкого вреда здоровью человека с целью принудительного изъятия того или иного внутреннего органа (ткани) у потерпевшего путем проведения соответствующей медицинской операции.</w:t>
      </w:r>
    </w:p>
    <w:p>
      <w:pPr>
        <w:pStyle w:val="Normal"/>
        <w:spacing w:lineRule="auto" w:line="360"/>
        <w:ind w:firstLine="709"/>
        <w:jc w:val="both"/>
        <w:rPr>
          <w:rFonts w:eastAsia="Times New Roman"/>
          <w:sz w:val="28"/>
          <w:szCs w:val="28"/>
        </w:rPr>
      </w:pPr>
      <w:r>
        <w:rPr>
          <w:rFonts w:eastAsia="Times New Roman"/>
          <w:sz w:val="28"/>
          <w:szCs w:val="28"/>
        </w:rPr>
        <w:t>Характеризуя данный вид преступления, важно подчеркнуть, что п. «ж» ч. 2 ст. 111 УК РФ стоит вменять в следующих случаях:</w:t>
      </w:r>
    </w:p>
    <w:p>
      <w:pPr>
        <w:pStyle w:val="Normal"/>
        <w:spacing w:lineRule="auto" w:line="360"/>
        <w:ind w:firstLine="709"/>
        <w:jc w:val="both"/>
        <w:rPr>
          <w:rFonts w:eastAsia="Times New Roman"/>
          <w:sz w:val="28"/>
          <w:szCs w:val="28"/>
        </w:rPr>
      </w:pPr>
      <w:r>
        <w:rPr>
          <w:rFonts w:eastAsia="Times New Roman"/>
          <w:sz w:val="28"/>
          <w:szCs w:val="28"/>
        </w:rPr>
        <w:t>- противоправное изъятие какого-либо органа, части органа, удаления больших участков ткани повлекло расстройство здоровья человека, соединенное со значительной стойкой утратой общей трудоспособности не менее чем на 1/3 и т.д. В этом случае предварительное насилие может отсутствовать либо его интенсивность будет соответствовать причинению вреда здоровью средней степени тяжести, легкого вреда здоровью, побоям и т. д., что при окончательной квалификации поглотится более тяжким последствием. В частности, для квалификации преступного деяния по рассматриваемого отягчающему признаку достаточно совершить действия, не являющиеся изъятием в чистом виде, но способствующие его проведению, например, разрез, трепанация и т. п. По справедливому замечанию С.С. Тихоновой, «…сам факт хирургического проникновения в брюшную, плевральную полость, нарушения целостности крупных кровеносных сосудов, позвоночника, черепа и т. д. должен квалифицироваться как оконченное причинение тяжкого вреда здоровью человека, независимо от окончания процедуры изъятия какого-либо конкретного органа, части органа или ткани, по признаку опасности для жизни в момент осуществления соответствующего проникновения…»</w:t>
      </w:r>
      <w:r>
        <w:rPr>
          <w:rStyle w:val="FootnoteCharacters"/>
          <w:rStyle w:val="Style16"/>
          <w:rFonts w:eastAsia="Times New Roman"/>
          <w:sz w:val="28"/>
          <w:szCs w:val="28"/>
        </w:rPr>
        <w:footnoteReference w:id="26"/>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 причинение тяжкого вреда здоровью служит средством преодоления или недопущения сопротивления потерпевшего, который отказался дать согласие на эксплантацию или не был осведомлен о планах виновного.</w:t>
      </w:r>
      <w:r>
        <w:rPr/>
        <w:t xml:space="preserve"> </w:t>
      </w:r>
      <w:r>
        <w:rPr>
          <w:rFonts w:eastAsia="Times New Roman"/>
          <w:sz w:val="28"/>
          <w:szCs w:val="28"/>
        </w:rPr>
        <w:t>В этом случае преступление следует считать оконченным с момента причинения «предварительного» вреда здоровью, независимо от того, удалось ли в последствии изъять намеченные органы или ткани.</w:t>
      </w:r>
    </w:p>
    <w:p>
      <w:pPr>
        <w:pStyle w:val="Normal"/>
        <w:spacing w:lineRule="auto" w:line="360"/>
        <w:ind w:firstLine="709"/>
        <w:jc w:val="both"/>
        <w:rPr>
          <w:rFonts w:eastAsia="Times New Roman"/>
          <w:sz w:val="28"/>
          <w:szCs w:val="28"/>
        </w:rPr>
      </w:pPr>
      <w:r>
        <w:rPr>
          <w:rFonts w:eastAsia="Times New Roman"/>
          <w:sz w:val="28"/>
          <w:szCs w:val="28"/>
        </w:rPr>
        <w:t>- в случаях прерывания беременности без предварительного согласия потерпевшей в целях использования полученных эмбриона, зародыша или их составляющих. В данном случае преступление будет считаться оконченным с момента фактического прерывания беременности, независимо от того, достигнута ли конечная цель – получить для использования абортивный материал. На наш взгляд, этот способ отличается от двух предыдущих тем, что, во-первых, в этом случае изъятия может не произойти (отличие от первого); во-вторых, данные действия в большинстве своем будут носить характер медицинского вмешательства (отличие от второго). Безусловно, беременность может быть прервана и не в результате соответствующей операции, но особая цель данного преступления (использование эмбриона, зародыша и т.д.) обусловливает медицинский способ его совершения.</w:t>
      </w:r>
    </w:p>
    <w:p>
      <w:pPr>
        <w:pStyle w:val="Normal"/>
        <w:spacing w:lineRule="auto" w:line="360"/>
        <w:ind w:firstLine="709"/>
        <w:jc w:val="both"/>
        <w:rPr>
          <w:sz w:val="28"/>
          <w:szCs w:val="28"/>
        </w:rPr>
      </w:pPr>
      <w:r>
        <w:rPr>
          <w:rFonts w:eastAsia="Times New Roman"/>
          <w:sz w:val="28"/>
          <w:szCs w:val="28"/>
        </w:rPr>
        <w:t>Особенностью преступления, предусмотренного п. «з» ч. 2 ст. 111 УК, является и то, что оно может быть совершено с применением оружия или предметов, используемых в качестве оружия. Причем для этого вида преступления важно не только фактическое использование названных средств, но и их демонстрацию потерпевшему. В качестве предмета, используемого в качестве оружия, может быть любой предмет хозяйственно-бытового и производственного назначения, которым причиняется вред здоровью потерпевшего (например, бритва, топор, лом).</w:t>
      </w:r>
    </w:p>
    <w:p>
      <w:pPr>
        <w:pStyle w:val="Normal"/>
        <w:spacing w:lineRule="auto" w:line="360"/>
        <w:ind w:firstLine="709"/>
        <w:jc w:val="both"/>
        <w:rPr>
          <w:rFonts w:eastAsia="Times New Roman"/>
          <w:sz w:val="28"/>
          <w:szCs w:val="28"/>
        </w:rPr>
      </w:pPr>
      <w:r>
        <w:rPr>
          <w:rFonts w:eastAsia="Times New Roman"/>
          <w:sz w:val="28"/>
          <w:szCs w:val="28"/>
        </w:rPr>
        <w:t>Так, Августинович О.А. была признана судом виновной в совершении умышленного причинения тяжкого вреда здоровью, опасного для жизни человека, с применением предмета, используемого в качестве оружия, при следующих обстоятельствах.</w:t>
      </w:r>
    </w:p>
    <w:p>
      <w:pPr>
        <w:pStyle w:val="Normal"/>
        <w:spacing w:lineRule="auto" w:line="360"/>
        <w:ind w:firstLine="709"/>
        <w:jc w:val="both"/>
        <w:rPr>
          <w:rFonts w:eastAsia="Times New Roman"/>
          <w:sz w:val="28"/>
          <w:szCs w:val="28"/>
        </w:rPr>
      </w:pPr>
      <w:r>
        <w:rPr>
          <w:rFonts w:eastAsia="Times New Roman"/>
          <w:sz w:val="28"/>
          <w:szCs w:val="28"/>
        </w:rPr>
        <w:t>12 сентября 2017 года в период времени с 19 часов до 21 часа, Августинович О.А. находясь в состоянии алкогольного опьянения, дома на почве внезапно возникших неприязненных отношений к потерпевшему, возникших в результате противоправных действий последнего, спровоцировавшего драку, действуя умышленно, с целью причинения тяжкого вреда здоровью потерпевшего, опасного для жизни человека, с применением предмета, используемого в качестве оружия, а именно кухонного ножа, находящегося в руках Августинович О.А., нанесла не менее одного удара ножом в область тела потерпевшему, чем причинила потерпевшему рану живота, проникающую в брюшную полость с пересечением хрящевой части 10 ребра слева, с множественными повреждениями тонкой кишки и брыжейки тонкой кишки, которая расценивается как тяжкий вред здоровью по признаку опасности для жизни</w:t>
      </w:r>
      <w:r>
        <w:rPr>
          <w:rStyle w:val="FootnoteCharacters"/>
          <w:rStyle w:val="Style16"/>
          <w:rFonts w:eastAsia="Times New Roman"/>
          <w:sz w:val="28"/>
          <w:szCs w:val="28"/>
        </w:rPr>
        <w:footnoteReference w:id="27"/>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В другом случае суд признал виновными Медведева И.Б. и Анкудинова И.Р., которые  умышленно причинили тяжкий вред здоровью, опасный для жизни человека, а именно нанесли множественные удары руками, а также неустановленным в ходе следствия предметом, похожим на спортивную биту, применяя его как предмет, используемый в качестве оружия, по голове, рукам, туловищу потерпевшим</w:t>
      </w:r>
      <w:r>
        <w:rPr>
          <w:rStyle w:val="FootnoteCharacters"/>
          <w:rStyle w:val="Style16"/>
          <w:rFonts w:eastAsia="Times New Roman"/>
          <w:sz w:val="28"/>
          <w:szCs w:val="28"/>
        </w:rPr>
        <w:footnoteReference w:id="28"/>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 xml:space="preserve">Теперь перейдем к характеристике квалифицирующих признаков II степени, предусмотренными ч. 3 ст. УК РФ. В качестве таковых выступают: </w:t>
      </w:r>
    </w:p>
    <w:p>
      <w:pPr>
        <w:pStyle w:val="Normal"/>
        <w:spacing w:lineRule="auto" w:line="360"/>
        <w:ind w:firstLine="709"/>
        <w:jc w:val="both"/>
        <w:rPr>
          <w:rFonts w:eastAsia="Times New Roman"/>
          <w:sz w:val="28"/>
          <w:szCs w:val="28"/>
        </w:rPr>
      </w:pPr>
      <w:r>
        <w:rPr>
          <w:rFonts w:eastAsia="Times New Roman"/>
          <w:sz w:val="28"/>
          <w:szCs w:val="28"/>
        </w:rPr>
        <w:t xml:space="preserve">а) причинение тяжкого вреда группой лиц, группой лиц по предварительному сговору или организованной группой; </w:t>
      </w:r>
    </w:p>
    <w:p>
      <w:pPr>
        <w:pStyle w:val="Normal"/>
        <w:spacing w:lineRule="auto" w:line="360"/>
        <w:ind w:firstLine="709"/>
        <w:jc w:val="both"/>
        <w:rPr>
          <w:rFonts w:eastAsia="Times New Roman"/>
          <w:sz w:val="28"/>
          <w:szCs w:val="28"/>
        </w:rPr>
      </w:pPr>
      <w:r>
        <w:rPr>
          <w:rFonts w:eastAsia="Times New Roman"/>
          <w:sz w:val="28"/>
          <w:szCs w:val="28"/>
        </w:rPr>
        <w:t>б) причинение тяжкого вреда здоровью в отношении двух или более лиц.</w:t>
      </w:r>
    </w:p>
    <w:p>
      <w:pPr>
        <w:pStyle w:val="Normal"/>
        <w:spacing w:lineRule="auto" w:line="360"/>
        <w:ind w:firstLine="709"/>
        <w:jc w:val="both"/>
        <w:rPr>
          <w:rFonts w:eastAsia="Times New Roman"/>
          <w:sz w:val="28"/>
          <w:szCs w:val="28"/>
        </w:rPr>
      </w:pPr>
      <w:r>
        <w:rPr>
          <w:rFonts w:eastAsia="Times New Roman"/>
          <w:sz w:val="28"/>
          <w:szCs w:val="28"/>
        </w:rPr>
        <w:t>Умышленное причинение тяжкого вреда здоровью совершается группой, когда двое или более виновных полностью или частично выполняют объективную сторону причинения вреда здоровью и таким образом выступают в роли соисполнителей этого преступления. Причинение тяжкого вреда здоровью группой лиц не требует наличия предварительного сговора и детального распределения ролей в преступлении. Для этого достаточно объединения действий исполнителей так, чтобы виновные осознавали совместный характер деятельности и предвидели общий результат.</w:t>
      </w:r>
    </w:p>
    <w:p>
      <w:pPr>
        <w:pStyle w:val="Normal"/>
        <w:tabs>
          <w:tab w:val="clear" w:pos="720"/>
          <w:tab w:val="left" w:pos="2640" w:leader="none"/>
          <w:tab w:val="left" w:pos="3820" w:leader="none"/>
          <w:tab w:val="left" w:pos="4680" w:leader="none"/>
          <w:tab w:val="left" w:pos="6020" w:leader="none"/>
          <w:tab w:val="left" w:pos="6520" w:leader="none"/>
          <w:tab w:val="left" w:pos="8940" w:leader="none"/>
        </w:tabs>
        <w:spacing w:lineRule="auto" w:line="360"/>
        <w:ind w:firstLine="709"/>
        <w:jc w:val="both"/>
        <w:rPr>
          <w:rFonts w:eastAsia="Times New Roman"/>
          <w:sz w:val="28"/>
          <w:szCs w:val="28"/>
        </w:rPr>
      </w:pPr>
      <w:r>
        <w:rPr>
          <w:rFonts w:eastAsia="Times New Roman"/>
          <w:sz w:val="28"/>
          <w:szCs w:val="28"/>
        </w:rPr>
        <w:t>Причинение</w:t>
        <w:tab/>
        <w:t>тяжкого</w:t>
        <w:tab/>
        <w:t>вреда</w:t>
        <w:tab/>
        <w:t>здоровью</w:t>
        <w:tab/>
        <w:t>по</w:t>
        <w:tab/>
        <w:t>предварительному</w:t>
        <w:tab/>
        <w:t xml:space="preserve">сговору группой лиц носит согласованный характер, поскольку речь идет о группе лиц, находящейся в сговоре с целью совершения этого преступления. В данном случае важно установить, что сговор был предварительным, т. е. до начала совершения преступления. В группе могут быть не только соисполнители, но и другие виды соучастников (подстрекатели, пособники, организаторы). </w:t>
      </w:r>
    </w:p>
    <w:p>
      <w:pPr>
        <w:pStyle w:val="Normal"/>
        <w:tabs>
          <w:tab w:val="clear" w:pos="720"/>
          <w:tab w:val="left" w:pos="2640" w:leader="none"/>
          <w:tab w:val="left" w:pos="3820" w:leader="none"/>
          <w:tab w:val="left" w:pos="4680" w:leader="none"/>
          <w:tab w:val="left" w:pos="6020" w:leader="none"/>
          <w:tab w:val="left" w:pos="6520" w:leader="none"/>
          <w:tab w:val="left" w:pos="8940" w:leader="none"/>
        </w:tabs>
        <w:spacing w:lineRule="auto" w:line="360"/>
        <w:ind w:firstLine="709"/>
        <w:jc w:val="both"/>
        <w:rPr>
          <w:rFonts w:eastAsia="Times New Roman"/>
          <w:sz w:val="28"/>
          <w:szCs w:val="28"/>
        </w:rPr>
      </w:pPr>
      <w:r>
        <w:rPr>
          <w:rFonts w:eastAsia="Times New Roman"/>
          <w:sz w:val="28"/>
          <w:szCs w:val="28"/>
        </w:rPr>
        <w:t>Так, З., Ц., С. и И. вступили в преступный сговор, направленный на причинение тяжкого вреда здоровью потерпевшему группой лиц по предварительному сговору. З. являлся его организатором, приискал непосредственных исполнителей, руководя совершением преступления, координировал и контролировал действия Ц. и С., обеспечил наличие денежных средств для оплаты совершенного преступления, предоставил Ц. и С. в соответствии с их требованиями орудия преступления и одежду. Ц. и С. являлись непосредственными исполнителями преступления. И. являлось пособником, в задачу которого входило устранение препятствий в процессе проникновения исполнителей к месту совершения преступления, путем открытия электронного замка домофона и обеспечения беспрепятственного доступа в подъезд. И., являясь пособником, должно было доставить Ц. и С. на автомобиле к месту совершения преступления, а также после его совершения обеспечить их беспрепятственное и оперативное убытие</w:t>
      </w:r>
      <w:r>
        <w:rPr>
          <w:rStyle w:val="FootnoteCharacters"/>
          <w:rStyle w:val="Style16"/>
          <w:rFonts w:eastAsia="Times New Roman"/>
          <w:sz w:val="28"/>
          <w:szCs w:val="28"/>
        </w:rPr>
        <w:footnoteReference w:id="29"/>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 xml:space="preserve">Повышенную опасность представляют действия, совершенные организованной группой лиц. Посягательство признается совершенным организованной группой, когда оно произведено устойчивой группой лиц, заранее объединившихся для совершения одного или нескольких преступлений. </w:t>
      </w:r>
    </w:p>
    <w:p>
      <w:pPr>
        <w:pStyle w:val="Normal"/>
        <w:spacing w:lineRule="auto" w:line="360"/>
        <w:ind w:firstLine="709"/>
        <w:jc w:val="both"/>
        <w:rPr>
          <w:rFonts w:eastAsia="Times New Roman"/>
          <w:sz w:val="28"/>
          <w:szCs w:val="28"/>
        </w:rPr>
      </w:pPr>
      <w:r>
        <w:rPr>
          <w:rFonts w:eastAsia="Times New Roman"/>
          <w:sz w:val="28"/>
          <w:szCs w:val="28"/>
        </w:rPr>
        <w:t>Причинение вреда здоровью двум или более лицам характеризуется единством преступного намерения виновного и, как правило, совершается это преступление одновременно. В качестве примера можно привести посягательство, при котором потерпевшие получили вред здоровью без разрыва во времени, например, причинение вреда одному человеку за другим.</w:t>
      </w:r>
    </w:p>
    <w:p>
      <w:pPr>
        <w:pStyle w:val="Normal"/>
        <w:spacing w:lineRule="auto" w:line="360"/>
        <w:ind w:firstLine="709"/>
        <w:jc w:val="both"/>
        <w:rPr>
          <w:sz w:val="28"/>
          <w:szCs w:val="28"/>
        </w:rPr>
      </w:pPr>
      <w:r>
        <w:rPr>
          <w:rFonts w:eastAsia="Times New Roman"/>
          <w:sz w:val="28"/>
          <w:szCs w:val="28"/>
        </w:rPr>
        <w:t>Вместе с тем, в судебной практике встречаются случаи причинения тяжкого вреда здоровью, квалифицируемым по п. «б» ч. 3 ст. 111 УК РФ, когда причиняется вред нескольким потерпевшим в разное время. Но при этом должно соблюдаться одно условие - действия виновного должны охватываться единством умысла, хотя совершение задуманных действий произошло неодновременно. Поэтому для квалификации действий по п. «б» ч. 3 ст. 111 УК необходим умысел виновного на причинение вреда здоровью двум или более лицам. В случае причинения тяжкого вреда здоровью двум или более лицам при отсутствии единого умысла, данные деяния нужно квалифицировать в зависимости от обстоятельств дела по другим пунктам и частям ст. 111 УК.</w:t>
      </w:r>
    </w:p>
    <w:p>
      <w:pPr>
        <w:pStyle w:val="Normal"/>
        <w:spacing w:lineRule="auto" w:line="360"/>
        <w:ind w:firstLine="709"/>
        <w:jc w:val="both"/>
        <w:rPr>
          <w:sz w:val="28"/>
          <w:szCs w:val="28"/>
        </w:rPr>
      </w:pPr>
      <w:r>
        <w:rPr>
          <w:rFonts w:eastAsia="Times New Roman"/>
          <w:sz w:val="28"/>
          <w:szCs w:val="28"/>
        </w:rPr>
        <w:t>Что же касается квалифицирующих признаков III степени, то в качестве таковых выступает умышленное причинение тяжкого вреда здоровью, повлекшее по неосторожности смерть потерпевшего.</w:t>
      </w:r>
    </w:p>
    <w:p>
      <w:pPr>
        <w:pStyle w:val="Normal"/>
        <w:spacing w:lineRule="auto" w:line="360"/>
        <w:ind w:firstLine="709"/>
        <w:jc w:val="both"/>
        <w:rPr>
          <w:sz w:val="28"/>
          <w:szCs w:val="28"/>
        </w:rPr>
      </w:pPr>
      <w:r>
        <w:rPr>
          <w:rFonts w:eastAsia="Times New Roman"/>
          <w:sz w:val="28"/>
          <w:szCs w:val="28"/>
        </w:rPr>
        <w:t>Специфика этого преступления заключается в том, что оно:</w:t>
      </w:r>
    </w:p>
    <w:p>
      <w:pPr>
        <w:pStyle w:val="Normal"/>
        <w:spacing w:lineRule="auto" w:line="360"/>
        <w:ind w:firstLine="709"/>
        <w:jc w:val="both"/>
        <w:rPr>
          <w:sz w:val="28"/>
          <w:szCs w:val="28"/>
        </w:rPr>
      </w:pPr>
      <w:r>
        <w:rPr>
          <w:rFonts w:eastAsia="Times New Roman"/>
          <w:sz w:val="28"/>
          <w:szCs w:val="28"/>
        </w:rPr>
        <w:t>а) посягает на два объекта - здоровье и жизнь потерпевшего;</w:t>
      </w:r>
    </w:p>
    <w:p>
      <w:pPr>
        <w:pStyle w:val="Normal"/>
        <w:spacing w:lineRule="auto" w:line="360"/>
        <w:ind w:firstLine="709"/>
        <w:jc w:val="both"/>
        <w:rPr>
          <w:sz w:val="28"/>
          <w:szCs w:val="28"/>
        </w:rPr>
      </w:pPr>
      <w:r>
        <w:rPr>
          <w:rFonts w:eastAsia="Times New Roman"/>
          <w:sz w:val="28"/>
          <w:szCs w:val="28"/>
        </w:rPr>
        <w:t>б) влечет наступление особо тяжкого последствия – смерть потерпевшего;</w:t>
      </w:r>
    </w:p>
    <w:p>
      <w:pPr>
        <w:pStyle w:val="Normal"/>
        <w:spacing w:lineRule="auto" w:line="360"/>
        <w:ind w:firstLine="709"/>
        <w:jc w:val="both"/>
        <w:rPr>
          <w:sz w:val="28"/>
          <w:szCs w:val="28"/>
        </w:rPr>
      </w:pPr>
      <w:r>
        <w:rPr>
          <w:rFonts w:eastAsia="Times New Roman"/>
          <w:sz w:val="28"/>
          <w:szCs w:val="28"/>
        </w:rPr>
        <w:t>в) совершается с двумя формами вины, о чем говорилось более подробно в параграфе 1.3.</w:t>
      </w:r>
    </w:p>
    <w:p>
      <w:pPr>
        <w:pStyle w:val="Normal"/>
        <w:spacing w:lineRule="auto" w:line="360"/>
        <w:ind w:firstLine="709"/>
        <w:jc w:val="both"/>
        <w:rPr>
          <w:rFonts w:eastAsia="Times New Roman"/>
          <w:sz w:val="28"/>
          <w:szCs w:val="28"/>
        </w:rPr>
      </w:pPr>
      <w:r>
        <w:rPr>
          <w:rFonts w:eastAsia="Times New Roman"/>
          <w:sz w:val="28"/>
          <w:szCs w:val="28"/>
        </w:rPr>
        <w:t>В юридической практике при квалификации преступного по ч. 4 ст. 111 УК РФ вызывает определенные сложности проблема установления причинно-следственной связи между умышленным причинением тяжкого вреда здоровью потерпевшего и последствием в виде смерти жертвы. Причинно-следственная связь будет существовать при условии, что смерть была обусловлена именно причинением тяжкого вреда здоровью потерпевшего. Для этого необходимо установить, что в развитие причинно-следственной связи не вторглись привходящие факторы, которые серьезно изменили течение событий (например, скрытые дефекты здоровья потерпевшего, непрофессиональные действия медиков и т.п.).</w:t>
      </w:r>
    </w:p>
    <w:p>
      <w:pPr>
        <w:pStyle w:val="Normal"/>
        <w:spacing w:lineRule="auto" w:line="360"/>
        <w:ind w:firstLine="709"/>
        <w:jc w:val="both"/>
        <w:rPr>
          <w:sz w:val="28"/>
          <w:szCs w:val="28"/>
        </w:rPr>
      </w:pPr>
      <w:r>
        <w:rPr>
          <w:sz w:val="28"/>
          <w:szCs w:val="28"/>
        </w:rPr>
        <w:t xml:space="preserve">В заключение параграфа отметим, что квалифицирующие признаки I, </w:t>
      </w:r>
      <w:r>
        <w:rPr>
          <w:sz w:val="28"/>
          <w:szCs w:val="28"/>
          <w:lang w:val="en-US"/>
        </w:rPr>
        <w:t>II</w:t>
      </w:r>
      <w:r>
        <w:rPr>
          <w:sz w:val="28"/>
          <w:szCs w:val="28"/>
        </w:rPr>
        <w:t xml:space="preserve"> и </w:t>
      </w:r>
      <w:r>
        <w:rPr>
          <w:sz w:val="28"/>
          <w:szCs w:val="28"/>
          <w:lang w:val="en-US"/>
        </w:rPr>
        <w:t>III</w:t>
      </w:r>
      <w:r>
        <w:rPr>
          <w:sz w:val="28"/>
          <w:szCs w:val="28"/>
        </w:rPr>
        <w:t xml:space="preserve"> степени нормативно закреплены в ч. 2, 3 и 4 ст. 111 УК РФ соответственно. Однако ряд отягчающих признаков вызывают определенные сложности при квалификации уголовного посягательства по  соответствующему пункту соответствующей части ст. 111 УК РФ.</w:t>
      </w:r>
    </w:p>
    <w:p>
      <w:pPr>
        <w:pStyle w:val="Normal"/>
        <w:spacing w:lineRule="auto" w:line="360"/>
        <w:ind w:firstLine="709"/>
        <w:jc w:val="both"/>
        <w:rPr>
          <w:sz w:val="28"/>
          <w:szCs w:val="28"/>
        </w:rPr>
      </w:pPr>
      <w:r>
        <w:rPr>
          <w:sz w:val="28"/>
          <w:szCs w:val="28"/>
        </w:rPr>
        <w:t xml:space="preserve">Так, для квалификации преступного деяния по п. «б» ч. 2 ст. 111 УК РФ важно, чтобы потерпевший изначально находился в беспомощном состоянии, а не был приведен в него действиями виновного. Однако можно ли рассматривать лиц, находящихся в беспомощном состоянии во время сна или сильной степени опьянения? Ответы на данный вопрос среди теоретиков и практиков отличаются. По данному поводу в судебной практике также нет однозначного подхода. На наш взгляд, беспомощное состояние может быть в силу различных обстоятельств и причин, которые должны быть четко нормативно закреплены. </w:t>
      </w:r>
    </w:p>
    <w:p>
      <w:pPr>
        <w:pStyle w:val="Normal"/>
        <w:spacing w:lineRule="auto" w:line="360"/>
        <w:ind w:firstLine="709"/>
        <w:jc w:val="both"/>
        <w:rPr>
          <w:sz w:val="28"/>
          <w:szCs w:val="28"/>
        </w:rPr>
      </w:pPr>
      <w:r>
        <w:rPr>
          <w:sz w:val="28"/>
          <w:szCs w:val="28"/>
        </w:rPr>
        <w:t>При посягательстве из хулиганских побуждений могут быть совершены иные умышленные действия, грубо нарушающие общественный порядок и выражающие явное неуважение к обществу. В таком случае необходимо проводить тщательную оценку юридического состава преступления, поскольку содеянное необходимо квалифицировать по совокупности по п. «д» ч. 2 ст. 111 и ст. 213 УК РФ.</w:t>
      </w:r>
    </w:p>
    <w:p>
      <w:pPr>
        <w:pStyle w:val="Normal"/>
        <w:spacing w:lineRule="auto" w:line="360"/>
        <w:ind w:firstLine="709"/>
        <w:jc w:val="both"/>
        <w:rPr>
          <w:sz w:val="28"/>
          <w:szCs w:val="28"/>
        </w:rPr>
      </w:pPr>
      <w:r>
        <w:rPr>
          <w:sz w:val="28"/>
          <w:szCs w:val="28"/>
        </w:rPr>
        <w:t xml:space="preserve">В юридической практике при квалификации преступного по ч. 4 ст. 111 УК РФ вызывает определенные сложности проблема установления причинно-следственной связи между умышленным причинением тяжкого вреда здоровью потерпевшего и последствием в виде смерти жертвы. Причинно-следственная связь будет существовать при условии, что смерть была обусловлена именно причинением тяжкого вреда здоровью потерпевшего. </w:t>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sectPr>
          <w:footerReference w:type="default" r:id="rId5"/>
          <w:footnotePr>
            <w:numFmt w:val="decimal"/>
            <w:numRestart w:val="eachPage"/>
          </w:footnotePr>
          <w:type w:val="nextPage"/>
          <w:pgSz w:w="11906" w:h="16838"/>
          <w:pgMar w:left="1440" w:right="566" w:header="0" w:top="1098" w:footer="0" w:bottom="392" w:gutter="0"/>
          <w:pgNumType w:fmt="decimal"/>
          <w:formProt w:val="false"/>
          <w:textDirection w:val="lrTb"/>
          <w:docGrid w:type="default" w:linePitch="100" w:charSpace="4096"/>
        </w:sectPr>
        <w:pStyle w:val="Normal"/>
        <w:spacing w:lineRule="auto" w:line="360"/>
        <w:ind w:firstLine="709"/>
        <w:jc w:val="both"/>
        <w:rPr>
          <w:sz w:val="28"/>
          <w:szCs w:val="28"/>
        </w:rPr>
      </w:pPr>
      <w:r>
        <w:rPr>
          <w:sz w:val="28"/>
          <w:szCs w:val="28"/>
        </w:rPr>
      </w:r>
    </w:p>
    <w:p>
      <w:pPr>
        <w:pStyle w:val="ListParagraph"/>
        <w:numPr>
          <w:ilvl w:val="0"/>
          <w:numId w:val="1"/>
        </w:numPr>
        <w:tabs>
          <w:tab w:val="clear" w:pos="720"/>
          <w:tab w:val="left" w:pos="1676" w:leader="none"/>
        </w:tabs>
        <w:spacing w:lineRule="auto" w:line="360"/>
        <w:jc w:val="center"/>
        <w:rPr>
          <w:rFonts w:eastAsia="Times New Roman"/>
          <w:b/>
          <w:b/>
          <w:sz w:val="28"/>
          <w:szCs w:val="28"/>
        </w:rPr>
      </w:pPr>
      <w:r>
        <w:rPr>
          <w:rFonts w:eastAsia="Times New Roman"/>
          <w:b/>
          <w:sz w:val="28"/>
          <w:szCs w:val="28"/>
        </w:rPr>
        <w:t>ОТГРАНИЧЕНИЕ ПРИЧИНЕНИЯ ТЯЖКОГО ВРЕДА ЗДОРОВЬЮ ОТ СМЕЖНЫХ СОСТАВОВ ПРЕСТУПЛЕНИЙ</w:t>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rFonts w:eastAsia="Times New Roman"/>
          <w:sz w:val="28"/>
          <w:szCs w:val="28"/>
        </w:rPr>
        <w:t>В юридической практике зачастую возникают сложности при квалификации преступлений, причиняющих тяжкий вред здоровью потерпевшего. Основная проблема заключается в установлении причинно-следственной связи между деянием виновного и наступившими вредными последствиями, в установлении умысла виновного, способа совершения уголовного посягательства, причинившего тяжкий вред здоровью.</w:t>
      </w:r>
    </w:p>
    <w:p>
      <w:pPr>
        <w:pStyle w:val="Normal"/>
        <w:spacing w:lineRule="auto" w:line="360"/>
        <w:ind w:firstLine="709"/>
        <w:jc w:val="both"/>
        <w:rPr>
          <w:sz w:val="28"/>
          <w:szCs w:val="28"/>
        </w:rPr>
      </w:pPr>
      <w:r>
        <w:rPr>
          <w:rFonts w:eastAsia="Times New Roman"/>
          <w:sz w:val="28"/>
          <w:szCs w:val="28"/>
        </w:rPr>
        <w:t>Причинение тяжкого вреда здоровью следует отграничивать от смежных составов, прежде всего, от убийства (ст. ст. 105 - 108 УК РФ), а также от причинения смерти по неосторожности (ст. 109 УК РФ).</w:t>
      </w:r>
    </w:p>
    <w:p>
      <w:pPr>
        <w:pStyle w:val="Normal"/>
        <w:spacing w:lineRule="auto" w:line="360"/>
        <w:ind w:firstLine="709"/>
        <w:jc w:val="both"/>
        <w:rPr>
          <w:rFonts w:eastAsia="Times New Roman"/>
          <w:sz w:val="28"/>
          <w:szCs w:val="28"/>
        </w:rPr>
      </w:pPr>
      <w:r>
        <w:rPr>
          <w:rFonts w:eastAsia="Times New Roman"/>
          <w:sz w:val="28"/>
          <w:szCs w:val="28"/>
        </w:rPr>
        <w:t xml:space="preserve">Для начала попробуем проанализировать и отграничить умышленное причинение тяжкого вреда здоровью от покушения на убийство. В данной ситуации действия виновного лица будут направлены на причинение смерти потерпевшему. Однако довести преступление до конца виновному не удается по независящим от него обстоятельствам, например, в силу активного сопротивления жертвы либо вмешательства третьих лиц. Судебная практика доказывает, что в большинстве случаев встречается именно такой состав преступления. Конечно, оконченное убийство совершается чаще, что демонстрирует еще и статистика, но неоконченность данного преступления - явление нередкое, и правоохранительные органы играют в этом немалую роль, неоднократно предотвращая своими действиями убийство человека. </w:t>
      </w:r>
    </w:p>
    <w:p>
      <w:pPr>
        <w:pStyle w:val="Normal"/>
        <w:spacing w:lineRule="auto" w:line="360"/>
        <w:ind w:firstLine="709"/>
        <w:jc w:val="both"/>
        <w:rPr>
          <w:rFonts w:eastAsia="Times New Roman"/>
          <w:sz w:val="28"/>
          <w:szCs w:val="28"/>
        </w:rPr>
      </w:pPr>
      <w:r>
        <w:rPr>
          <w:rFonts w:eastAsia="Times New Roman"/>
          <w:sz w:val="28"/>
          <w:szCs w:val="28"/>
        </w:rPr>
        <w:t>Основное отличие рассматриваемых составов преступлений заключается в субъективной стороне, а именно виде умысла. Если при причинении тяжкого вреда здоровью виновный осознает общественно опасный характер своих действий, предвидит возможность причинения тяжкого вреда здоровью потерпевшему и желает либо сознательно допускает наступление таких последствий, либо относится к ним безразлично, то есть преступление совершается с прямым или косвенным умыслом. Тогда как покушение на убийство возможно при наличии только прямого умысла.</w:t>
      </w:r>
    </w:p>
    <w:p>
      <w:pPr>
        <w:pStyle w:val="Normal"/>
        <w:spacing w:lineRule="auto" w:line="360"/>
        <w:ind w:firstLine="709"/>
        <w:jc w:val="both"/>
        <w:rPr>
          <w:rFonts w:eastAsia="Times New Roman"/>
          <w:sz w:val="28"/>
          <w:szCs w:val="28"/>
        </w:rPr>
      </w:pPr>
      <w:r>
        <w:rPr>
          <w:rFonts w:eastAsia="Times New Roman"/>
          <w:sz w:val="28"/>
          <w:szCs w:val="28"/>
        </w:rPr>
        <w:t>Так, материалами уголовного дела установлено, что в процессе совместного распития спиртного между осужденным В. и потерпевшими возник конфликт, в ходе которого В. стал наносить удары ножом К., О., С. и Г. Так, осужденный нанес К. в область груди и живота не менее двух ударов, С. – семь, а О. и Г. – по три удара. Во время причинения потерпевшим ножевых ранений находившаяся в квартире А. вызвала полицию. В дальнейшем осужденный напал на прибывших сотрудников полиции Б. и Ч., которым нанес каждому не менее двух ударов ножом в область головы. Указанные действия В. квалифицированы судом по ч. 3 ст. 30, п. «а» ч. 2 ст. 105 и ст. 317 УК РФ.</w:t>
      </w:r>
    </w:p>
    <w:p>
      <w:pPr>
        <w:pStyle w:val="Normal"/>
        <w:spacing w:lineRule="auto" w:line="360"/>
        <w:ind w:firstLine="709"/>
        <w:jc w:val="both"/>
        <w:rPr>
          <w:rFonts w:eastAsia="Times New Roman"/>
          <w:sz w:val="28"/>
          <w:szCs w:val="28"/>
        </w:rPr>
      </w:pPr>
      <w:r>
        <w:rPr>
          <w:rFonts w:eastAsia="Times New Roman"/>
          <w:sz w:val="28"/>
          <w:szCs w:val="28"/>
        </w:rPr>
        <w:t>В апелляционной жалобе осужденный оспаривал вывод суда о наличии у него умысла на убийство потерпевших и просил переквалифицировать его действия на ч. 3 ст. 111 УК РФ.</w:t>
      </w:r>
    </w:p>
    <w:p>
      <w:pPr>
        <w:pStyle w:val="Normal"/>
        <w:spacing w:lineRule="auto" w:line="360"/>
        <w:ind w:firstLine="709"/>
        <w:jc w:val="both"/>
        <w:rPr>
          <w:rFonts w:eastAsia="Times New Roman"/>
          <w:sz w:val="28"/>
          <w:szCs w:val="28"/>
        </w:rPr>
      </w:pPr>
      <w:r>
        <w:rPr>
          <w:rFonts w:eastAsia="Times New Roman"/>
          <w:sz w:val="28"/>
          <w:szCs w:val="28"/>
        </w:rPr>
        <w:t>Судебная коллегия по уголовным делам Верховного Суда Российской Федерации оставила приговор без изменения, обосновывая сое решение тем, что характер действий В., использование ножа, нанесение им ранений потерпевшим, в том числе в область жизненно важных органов, свидетельствуют об умысле осужденного на убийство, которое не было доведено до конца по независящим от него обстоятельствам, поскольку противоправные действия осужденного были пресечены прибывшими по вызову сотрудниками полиции</w:t>
      </w:r>
      <w:r>
        <w:rPr>
          <w:rStyle w:val="FootnoteCharacters"/>
          <w:rStyle w:val="Style16"/>
          <w:rFonts w:eastAsia="Times New Roman"/>
          <w:sz w:val="28"/>
          <w:szCs w:val="28"/>
        </w:rPr>
        <w:footnoteReference w:id="30"/>
      </w:r>
      <w:r>
        <w:rPr>
          <w:rFonts w:eastAsia="Times New Roman"/>
          <w:sz w:val="28"/>
          <w:szCs w:val="28"/>
        </w:rPr>
        <w:t>.</w:t>
      </w:r>
    </w:p>
    <w:p>
      <w:pPr>
        <w:pStyle w:val="Normal"/>
        <w:spacing w:lineRule="auto" w:line="360"/>
        <w:ind w:firstLine="709"/>
        <w:jc w:val="both"/>
        <w:rPr>
          <w:rFonts w:eastAsia="Times New Roman"/>
          <w:sz w:val="28"/>
          <w:szCs w:val="28"/>
        </w:rPr>
      </w:pPr>
      <w:r>
        <w:rPr>
          <w:rFonts w:eastAsia="Times New Roman"/>
          <w:sz w:val="28"/>
          <w:szCs w:val="28"/>
        </w:rPr>
        <w:t xml:space="preserve"> </w:t>
      </w:r>
      <w:r>
        <w:rPr>
          <w:rFonts w:eastAsia="Times New Roman"/>
          <w:sz w:val="28"/>
          <w:szCs w:val="28"/>
        </w:rPr>
        <w:t>Что же касается отграничения причинения тяжкого вреда здоровью, повлекшего по неосторожности смерть потерпевшего от убийства, то важное значение здесь придается мотиву действий виновного. Конечно, оба преступления могут быть совершены из мести, ревности, ненависти и др. Однако главным аспектом отграничения рассматриваемых противоправных деяний является стремление при убийстве причинить смерть потерпевшему. Именно на достижение этого направлен умысел виновного при устранении нежелательного свидетеля, убийстве матерью новорожденного ребенка, убийстве наследником наследодателя и т.д. Тогда как при убийстве причинение тяжкого вреда здоровью не способствует достижению поставленной цели для виновного. Вместе с тем, если правоприменители не могут четко установить мотив преступления, то сложившееся положение дел не может служить основанием для применения ч. 4 ст. 111 УК РФ. Если имелся умысел на причинение смерти, то уголовное посягательство должно квалифицироваться по ст. 105 УК РФ.</w:t>
      </w:r>
    </w:p>
    <w:p>
      <w:pPr>
        <w:pStyle w:val="Normal"/>
        <w:spacing w:lineRule="auto" w:line="360"/>
        <w:ind w:firstLine="709"/>
        <w:jc w:val="both"/>
        <w:rPr>
          <w:sz w:val="28"/>
          <w:szCs w:val="28"/>
        </w:rPr>
      </w:pPr>
      <w:r>
        <w:rPr>
          <w:rFonts w:eastAsia="Times New Roman"/>
          <w:sz w:val="28"/>
          <w:szCs w:val="28"/>
        </w:rPr>
        <w:t>Весьма распространенной ошибкой при квалификации преступного деяния выступает мнение, согласно которому наличие значительного разрыва во времени между причинением вреда здоровью и наступлением смерти требует квалификации по ч. 4 ст. 111 УК РФ. Вместе с тем судебная практика знает примеры, когда при умышленном лишении жизни содеянное квалифицировалось по ст. 105 УК РФ при наступлении смерти спустя значительное время после нанесения травмы. Поэтому разграничение убийства и причинения тяжкого вреда здоровью, по неосторожности повлекшего смерть потерпевшего, нужно проводить по субъективной стороне. Если в первом случае умысел виновного направлен на лишение жизни потерпевшего, то во втором отношение виновного к наступлению смерти потерпевшего выражается в неосторожности. Но как бы то ни было, в любом случае необходим тщательный анализ не только субъективных признаков преступления, но и действий виновного и всей ситуации противоправного деяния.</w:t>
      </w:r>
    </w:p>
    <w:p>
      <w:pPr>
        <w:pStyle w:val="Normal"/>
        <w:spacing w:lineRule="auto" w:line="360"/>
        <w:ind w:firstLine="709"/>
        <w:jc w:val="both"/>
        <w:rPr>
          <w:sz w:val="28"/>
          <w:szCs w:val="28"/>
        </w:rPr>
      </w:pPr>
      <w:r>
        <w:rPr>
          <w:rFonts w:eastAsia="Times New Roman"/>
          <w:sz w:val="28"/>
          <w:szCs w:val="28"/>
        </w:rPr>
        <w:t>При этом Пленум Верховного Суда РФ в п. 3 постановления «О судебной практике по делам об убийстве (ст. 105 УК РФ)» от 27 января 1999 г. определяет, что «при решении вопроса о направленности умысла виновного следует исходить из совокупности всех обстоятельств содеянного и учитывать, в частности, способ и орудие преступления, количество, характер и локализацию телесных повреждений (например, ранения жизненно важных органов человека), а также предшествующее преступлению и последующее поведение виновного и потерпевшего, их взаимоотношения».</w:t>
      </w:r>
    </w:p>
    <w:p>
      <w:pPr>
        <w:pStyle w:val="Normal"/>
        <w:spacing w:lineRule="auto" w:line="360"/>
        <w:ind w:firstLine="709"/>
        <w:jc w:val="both"/>
        <w:rPr>
          <w:rFonts w:eastAsia="Times New Roman"/>
          <w:sz w:val="28"/>
          <w:szCs w:val="28"/>
        </w:rPr>
      </w:pPr>
      <w:r>
        <w:rPr>
          <w:rFonts w:eastAsia="Times New Roman"/>
          <w:sz w:val="28"/>
          <w:szCs w:val="28"/>
        </w:rPr>
        <w:t>Нередко ошибки в квалификации рассматриваемых преступлений связаны с отсутствием умений правильно устанавливать обстоятельства дела и устанавливать субъективную сторону уголовного посягательства. Так, обвиняемые в совершении преступления, предусмотренного ч. 4 ст. 111 УК, ссылаются на то, что у них не было желания причинить смерть потерпевшему. Однако общеизвестно, что отсутствие желания не означает отсутствие умысла виновного. Особенность косвенного умысла, с которым может быть совершено убийство, предполагает, что лицо не желает наступления вредных последствий, но сознательно допускает их наступление либо безразлично к ним относится. Поэтому как убийство следует квалифицировать поджог помещения, в котором находится потерпевший либо использование кляпа или пластыря, чтобы не дать потерпевшему позвать на помощь, или оставление потерпевшего в опасном для жизни состоянии, в которое виновный привел своими умышленными действиями, если в результате таких действий наступила смерть потерпевшего. Во всех случаях налицо косвенный умысел на причинение смерти потерпевшему, а, следовательно, действия виновного следует квалифицировать как убийство.</w:t>
      </w:r>
    </w:p>
    <w:p>
      <w:pPr>
        <w:pStyle w:val="Normal"/>
        <w:spacing w:lineRule="auto" w:line="360"/>
        <w:ind w:firstLine="709"/>
        <w:jc w:val="both"/>
        <w:rPr>
          <w:sz w:val="28"/>
          <w:szCs w:val="28"/>
        </w:rPr>
      </w:pPr>
      <w:r>
        <w:rPr>
          <w:rFonts w:eastAsia="Times New Roman"/>
          <w:sz w:val="28"/>
          <w:szCs w:val="28"/>
        </w:rPr>
        <w:t>Необходимо отметить, что важную роль играет оценка конкретного способа причинения вреда, который определяется характером применяемых орудий; силой, числом и локализацией ранений; характером причиняемых повреждений и т.д. Все элементы способа рассматриваются комплексно. Поэтому на практике нанесение ножевого ранения в руку или ногу, в результате которого от повреждения артерии, вызвавшего острую потерю крови, а в последующем наступила смерть потерпевшего, квалифицируется по ч. 4 ст. 111 УК РФ. Умысел на убийство при нанесении удара невооруженной рукой в принципе возможен, но его установление требует особо внимательной оценки обстоятельств дела. Нельзя руководствоваться только тяжестью вредных последствий.</w:t>
      </w:r>
    </w:p>
    <w:p>
      <w:pPr>
        <w:pStyle w:val="Normal"/>
        <w:spacing w:lineRule="auto" w:line="360"/>
        <w:ind w:firstLine="709"/>
        <w:jc w:val="both"/>
        <w:rPr>
          <w:rFonts w:eastAsia="Times New Roman"/>
          <w:sz w:val="28"/>
          <w:szCs w:val="28"/>
        </w:rPr>
      </w:pPr>
      <w:r>
        <w:rPr>
          <w:rFonts w:eastAsia="Times New Roman"/>
          <w:sz w:val="28"/>
          <w:szCs w:val="28"/>
        </w:rPr>
        <w:t xml:space="preserve">Так, Мандрыка А.А., находясь в состоянии алкогольного опьянения, на почве личных неприязненных отношений, возникших в ходе бытовых ссор, действуя умышленно, осознавая общественную опасность и противоправность своих действий, предвидя неизбежность наступления общественно-опасных последствий в виде причинения тяжкого вреда здоровью, опасного для жизни потерпевшей, и безразлично относясь к их наступлениям, не предвидя возможности наступления смерти потерпевшей, однако при должной осторожности и внимательности должен был и мог предвидеть возможность ее наступления, неоднократно толкал руками последнюю, отчего та падала и ударилась головой о предметы окружающей обстановки, кроме того нанес кулаком не менее двух ударов по лицу потерпевшей, а также нанес не менее двух ударов деревянной битой по голове потерпевшей, причинив последней тяжкие телесные повреждения. </w:t>
      </w:r>
    </w:p>
    <w:p>
      <w:pPr>
        <w:pStyle w:val="Normal"/>
        <w:spacing w:lineRule="auto" w:line="360"/>
        <w:ind w:firstLine="709"/>
        <w:jc w:val="both"/>
        <w:rPr>
          <w:rFonts w:eastAsia="Times New Roman"/>
          <w:sz w:val="28"/>
          <w:szCs w:val="28"/>
        </w:rPr>
      </w:pPr>
      <w:r>
        <w:rPr>
          <w:rFonts w:eastAsia="Times New Roman"/>
          <w:sz w:val="28"/>
          <w:szCs w:val="28"/>
        </w:rPr>
        <w:t>То обстоятельство, что подсудимый нанес целенаправленные удары потерпевшей в голову, то есть в область расположения жизненно важного органа, свидетельствует, по мнению суда, о наличии у Мандрыка А.А. умысла на нанесение тяжких телесных повреждений. В этой связи у суда отсутствуют основания для переквалификации действий подсудимого на ст. 109 УК РФ.</w:t>
      </w:r>
    </w:p>
    <w:p>
      <w:pPr>
        <w:pStyle w:val="Normal"/>
        <w:spacing w:lineRule="auto" w:line="360"/>
        <w:ind w:firstLine="709"/>
        <w:jc w:val="both"/>
        <w:rPr>
          <w:rFonts w:eastAsia="Times New Roman"/>
          <w:sz w:val="28"/>
          <w:szCs w:val="28"/>
        </w:rPr>
      </w:pPr>
      <w:r>
        <w:rPr>
          <w:rFonts w:eastAsia="Times New Roman"/>
          <w:sz w:val="28"/>
          <w:szCs w:val="28"/>
        </w:rPr>
        <w:t>Поэтому суд правомерно счел необходимым квалифицировать действия Мандрыка А.А. по ч. 4 ст. 111 УК РФ, как умышленное причинение тяжкого вреда здоровью, опасного для жизни человека, повлекшее по неосторожности смерть потерпевшего</w:t>
      </w:r>
      <w:r>
        <w:rPr>
          <w:rStyle w:val="FootnoteCharacters"/>
          <w:rStyle w:val="Style16"/>
          <w:rFonts w:eastAsia="Times New Roman"/>
          <w:sz w:val="28"/>
          <w:szCs w:val="28"/>
        </w:rPr>
        <w:footnoteReference w:id="31"/>
      </w:r>
      <w:r>
        <w:rPr>
          <w:rFonts w:eastAsia="Times New Roman"/>
          <w:sz w:val="28"/>
          <w:szCs w:val="28"/>
        </w:rPr>
        <w:t>.</w:t>
      </w:r>
    </w:p>
    <w:p>
      <w:pPr>
        <w:pStyle w:val="Normal"/>
        <w:spacing w:lineRule="auto" w:line="360"/>
        <w:ind w:firstLine="709"/>
        <w:jc w:val="both"/>
        <w:rPr>
          <w:sz w:val="28"/>
          <w:szCs w:val="28"/>
        </w:rPr>
      </w:pPr>
      <w:r>
        <w:rPr>
          <w:rFonts w:eastAsia="Times New Roman"/>
          <w:sz w:val="28"/>
          <w:szCs w:val="28"/>
        </w:rPr>
        <w:t>Сложнее произвести квалификацию, когда смерть возникает от единичного удара кулаком с большой силой в жизненно важный орган, ножевой раны в бедро с ранением крупной артерии, от которых человек умирает. Подобные действия виновного, вероятнее всего, следует квалифицировать как умышленные действия, направленные на причинение тяжкого вреда здоровью с неосторожным отношением к последствиям - смерти потерпевшего. Если же будут добыты доказательства, свидетельствовавшие, что виновный действовал с умыслом на лишение жизни, содеянное надлежит квалифицировать как убийство.</w:t>
      </w:r>
    </w:p>
    <w:p>
      <w:pPr>
        <w:pStyle w:val="Normal"/>
        <w:tabs>
          <w:tab w:val="clear" w:pos="720"/>
          <w:tab w:val="left" w:pos="1200" w:leader="none"/>
          <w:tab w:val="left" w:pos="2180" w:leader="none"/>
          <w:tab w:val="left" w:pos="2800" w:leader="none"/>
          <w:tab w:val="left" w:pos="4120" w:leader="none"/>
          <w:tab w:val="left" w:pos="4920" w:leader="none"/>
          <w:tab w:val="left" w:pos="5240" w:leader="none"/>
          <w:tab w:val="left" w:pos="5520" w:leader="none"/>
          <w:tab w:val="left" w:pos="5880" w:leader="none"/>
          <w:tab w:val="left" w:pos="6100" w:leader="none"/>
          <w:tab w:val="left" w:pos="6680" w:leader="none"/>
          <w:tab w:val="left" w:pos="7240" w:leader="none"/>
          <w:tab w:val="left" w:pos="7640" w:leader="none"/>
          <w:tab w:val="left" w:pos="8040" w:leader="none"/>
          <w:tab w:val="left" w:pos="9320" w:leader="none"/>
          <w:tab w:val="left" w:pos="9680" w:leader="none"/>
        </w:tabs>
        <w:spacing w:lineRule="auto" w:line="360"/>
        <w:ind w:firstLine="709"/>
        <w:jc w:val="both"/>
        <w:rPr>
          <w:sz w:val="28"/>
          <w:szCs w:val="28"/>
        </w:rPr>
      </w:pPr>
      <w:r>
        <w:rPr>
          <w:rFonts w:eastAsia="Times New Roman"/>
          <w:sz w:val="28"/>
          <w:szCs w:val="28"/>
        </w:rPr>
        <w:t>Осознанное причинение повреждений, опасность которых для жизни достаточно очевидна, свидетельствует о наличии интеллектуального элемента умысла на причинение смерти, поскольку виновный предвидит возможность смертельного исхода. Даже если не установлено, что он желал смерти жертвы, при сознательном допущении смертельного результата, безразличном отношении к нему, содеянное представляет собой убийство с косвенным умыслом, а не преступление, предусмотренное ч. 4 ст. 111 УК РФ.</w:t>
      </w:r>
    </w:p>
    <w:p>
      <w:pPr>
        <w:pStyle w:val="Normal"/>
        <w:spacing w:lineRule="auto" w:line="360"/>
        <w:ind w:firstLine="709"/>
        <w:jc w:val="both"/>
        <w:rPr>
          <w:rFonts w:eastAsia="Times New Roman"/>
          <w:sz w:val="28"/>
          <w:szCs w:val="28"/>
        </w:rPr>
      </w:pPr>
      <w:r>
        <w:rPr>
          <w:rFonts w:eastAsia="Times New Roman"/>
          <w:sz w:val="28"/>
          <w:szCs w:val="28"/>
        </w:rPr>
        <w:t>Делая промежуточные выводы, можно отметить, что причинение тяжкого вреда здоровью, повлекшее смерть потерпевшего, можно квалифицировать в одних случаях по ст. 105 УК РФ (при установлении умысла на причинение тяжкого вреда здоровью по признаку опасности для жизни с предвидением возможности наступления его смерти), в других – по ч. 4 ст. 111 УК РФ (когда установлено, что виновный не предвидит возможности наступления смерти и есть умысел на причинение тяжкого вреда здоровью, не опасного для жизни, либо умысел на причинение вреда здоровью, оказавшегося тяжким), в третьих - по ст. 109 УК РФ (когда виновное лицо по небрежности не предвидит возможность наступления вредных преступных последствий, либо по легкомыслию создает угрозу жизни человека, предвидя возможность наступления последствий, но реально рассчитывает избежать их).</w:t>
      </w:r>
    </w:p>
    <w:p>
      <w:pPr>
        <w:pStyle w:val="Normal"/>
        <w:spacing w:lineRule="auto" w:line="360"/>
        <w:ind w:firstLine="709"/>
        <w:jc w:val="both"/>
        <w:rPr>
          <w:rFonts w:eastAsia="Times New Roman"/>
          <w:sz w:val="28"/>
          <w:szCs w:val="28"/>
        </w:rPr>
      </w:pPr>
      <w:r>
        <w:rPr>
          <w:rFonts w:eastAsia="Times New Roman"/>
          <w:sz w:val="28"/>
          <w:szCs w:val="28"/>
        </w:rPr>
        <w:t>Примером последнего варианта может служить следующий случай из судебной практики.</w:t>
      </w:r>
      <w:r>
        <w:rPr/>
        <w:t xml:space="preserve"> </w:t>
      </w:r>
      <w:r>
        <w:rPr>
          <w:rFonts w:eastAsia="Times New Roman"/>
          <w:sz w:val="28"/>
          <w:szCs w:val="28"/>
        </w:rPr>
        <w:t>Подсудимый Мушкамбаров А.Г. был осужден по ч. 1 ст. 109 УК РФ. Судом было установлено, что Мушкамбаров А.Г., находясь во дворе многоквартирного жилого дома в состоянии опьянения, вызванного употреблением алкоголя, в ходе возникшей ссоры на почве внезапно возникших личных неприязненных отношений, проявляя преступную небрежность и, не предвидя возможности наступления общественно опасных последствий своих действий в виде смерти Ш, хотя при необходимой внимательности и предусмотрительности должен был и мог предвидеть эти последствия, нанес Ш один удар кулаком правой руки в область лица, в результате чего последний потерял равновесие и спиной упал на землю, ударившись головой об асфальтированную поверхность, получив в соответствии с заключением эксперта  телесные повреждения в виде закрытой черепно-мозговой травмы: отечность мягких тканей затылочной области, субдуральная гематома объемом до 100 мл правой гемисферы, перелом затылочной области, ушиб головного мозга тяжелой степени, пластинчатая субдуральная гематома в области выпуклой поверхности левого полушария головного мозга объемом около 110 мл, тотальное субарахноидальное кровоизлияние левого полушария головного мозга, мелкоточечные кровоизлияния в стволовом отделе мозга, деструкция вещества правого полушария головного мозга и подкорковых структур справа, которая причинила здоровью Ш. тяжкий вред по признаку опасности для жизни и состоит в прямой причинной связи с наступлением смерти</w:t>
      </w:r>
      <w:r>
        <w:rPr>
          <w:rStyle w:val="FootnoteCharacters"/>
          <w:rStyle w:val="Style16"/>
          <w:rFonts w:eastAsia="Times New Roman"/>
          <w:sz w:val="28"/>
          <w:szCs w:val="28"/>
        </w:rPr>
        <w:footnoteReference w:id="32"/>
      </w:r>
      <w:r>
        <w:rPr>
          <w:rFonts w:eastAsia="Times New Roman"/>
          <w:sz w:val="28"/>
          <w:szCs w:val="28"/>
        </w:rPr>
        <w:t>.</w:t>
      </w:r>
    </w:p>
    <w:p>
      <w:pPr>
        <w:pStyle w:val="Normal"/>
        <w:spacing w:lineRule="auto" w:line="360"/>
        <w:ind w:firstLine="709"/>
        <w:jc w:val="both"/>
        <w:rPr>
          <w:sz w:val="28"/>
          <w:szCs w:val="28"/>
        </w:rPr>
      </w:pPr>
      <w:r>
        <w:rPr>
          <w:rFonts w:eastAsia="Times New Roman"/>
          <w:sz w:val="28"/>
          <w:szCs w:val="28"/>
        </w:rPr>
        <w:t>Важно подчеркнуть, что уголовным законом предусмотрена ответственность за посягательство на личность, совершенное как в форме действия, так и бездействия. Иногда в юридической практике при квалификации причинения тяжкого вреда здоровью возникают сложности, поскольку по объективным признакам причинение тяжкого вреда здоровью, повлекшее смерть потерпевшего в результате преступного бездействия субъекта и оставления в опасности потерпевшего (с последующим наступлением его смерти) внешне достаточно похожи. Это возможно ввиду причинения вреда здоровью посредством третьих сил, негативное воздействие которых умышленно используется виновным при посягательстве на жизнь и здоровье или допускается при оставлении в опасности. Однако объективная сторона рассматриваемых деяний имеет существенное отличие, которое заключается в особенностях субъекта, характером возложенных на него обязанностей или действиями виновного, ставящими потерпевшего в опасность.</w:t>
      </w:r>
    </w:p>
    <w:p>
      <w:pPr>
        <w:pStyle w:val="Normal"/>
        <w:spacing w:lineRule="auto" w:line="360"/>
        <w:ind w:firstLine="709"/>
        <w:jc w:val="both"/>
        <w:rPr>
          <w:rFonts w:eastAsia="Times New Roman"/>
          <w:sz w:val="28"/>
          <w:szCs w:val="28"/>
        </w:rPr>
      </w:pPr>
      <w:r>
        <w:rPr>
          <w:rFonts w:eastAsia="Times New Roman"/>
          <w:sz w:val="28"/>
          <w:szCs w:val="28"/>
        </w:rPr>
        <w:t>Так, об оставлении в опасности можно вести речь, если виновное лицо, оставляя потерпевшего в опасном для жизни и здоровья состоянии, осознает данное обстоятельство, но на этот момент потерпевшему еще не требуется оказание неотложной и необходимой помощи. К примеру, малолетний ребенок брошен в лесу. Безусловно, жизнь и здоровье ребенка поставлены в опасность, однако оказание ему неотложной помощи может возникнуть спустя определенный промежуток времени, когда появляется угроза наступления голодной смерти или смерти в результате переохлаждения. Напротив, убийство и причинение тяжкого вреда здоровью, повлекшее смерть потерпевшего, при преступном бездействии возможны в случае неоказания необходимой и неотложной помощи и здесь решающее значение порой имеет временной фактор оказания такой помощи.</w:t>
      </w:r>
    </w:p>
    <w:p>
      <w:pPr>
        <w:pStyle w:val="Normal"/>
        <w:spacing w:lineRule="auto" w:line="360"/>
        <w:ind w:firstLine="709"/>
        <w:jc w:val="both"/>
        <w:rPr>
          <w:rFonts w:eastAsia="Times New Roman"/>
          <w:sz w:val="28"/>
          <w:szCs w:val="28"/>
        </w:rPr>
      </w:pPr>
      <w:r>
        <w:rPr>
          <w:rFonts w:eastAsia="Times New Roman"/>
          <w:sz w:val="28"/>
          <w:szCs w:val="28"/>
        </w:rPr>
        <w:t xml:space="preserve">Кроме того, при убийстве посредством бездействия присутствуют условия, которые позволяют установить объективно предвидимое использование виновным неблагоприятных факторов для достижения вредных последствий. Так, бездействия виновного следует квалифицировать как убийство, если руководитель отправляет подчиненного устранить повреждение на линии электропередач, заведомо зная, что ток не отключен. </w:t>
      </w:r>
    </w:p>
    <w:p>
      <w:pPr>
        <w:pStyle w:val="Normal"/>
        <w:spacing w:lineRule="auto" w:line="360"/>
        <w:ind w:firstLine="709"/>
        <w:jc w:val="both"/>
        <w:rPr>
          <w:rFonts w:eastAsia="Times New Roman"/>
          <w:sz w:val="28"/>
          <w:szCs w:val="28"/>
        </w:rPr>
      </w:pPr>
      <w:r>
        <w:rPr>
          <w:rFonts w:eastAsia="Times New Roman"/>
          <w:sz w:val="28"/>
          <w:szCs w:val="28"/>
        </w:rPr>
        <w:t xml:space="preserve">Умышленное причинение тяжкого вреда здоровью потерпевшего возможно и при разбойном нападении. Однако данные деяния различаются, прежде всего, объектом посягательства. Если разбой, сопряженный с причинением тяжкого вреда здоровью потерпевшего, посягает на два объекта: отношения, обеспечивающие жизнь и здоровье человека, и отношения собственности, то причинение тяжкого вреда здоровью лишь на один объект — отношения, обеспечивающие здоровье человека. </w:t>
      </w:r>
    </w:p>
    <w:p>
      <w:pPr>
        <w:pStyle w:val="Normal"/>
        <w:spacing w:lineRule="auto" w:line="360"/>
        <w:ind w:firstLine="709"/>
        <w:jc w:val="both"/>
        <w:rPr>
          <w:sz w:val="28"/>
          <w:szCs w:val="28"/>
        </w:rPr>
      </w:pPr>
      <w:r>
        <w:rPr>
          <w:rFonts w:eastAsia="Times New Roman"/>
          <w:sz w:val="28"/>
          <w:szCs w:val="28"/>
        </w:rPr>
        <w:t>Однако, если в ходе разбойного нападения был причинен тяжкий вред здоровью потерпевшего (п. «в» ч. 4 ст. 162 УК РФ), повлекшее за собой смерть потерпевшего по неосторожности, то данные деяния должны квалифицироваться</w:t>
      </w:r>
      <w:r>
        <w:rPr/>
        <w:t xml:space="preserve"> </w:t>
      </w:r>
      <w:r>
        <w:rPr>
          <w:rFonts w:eastAsia="Times New Roman"/>
          <w:sz w:val="28"/>
          <w:szCs w:val="28"/>
        </w:rPr>
        <w:t>по совокупности преступлений, предусмотренных п. «в» ч. 4 ст. 162 и ч. 4 ст. 111 УК РФ. Ибо основной целью разбоя является завладение чужим имуществом, совершаемое путем хищения. Разбой, повлекший причинение тяжкого вреда здоровью потерпевшего, свидетельствует лишь об использовании преступником определенного способа для достижения цели, но не означает, что он достиг ее.</w:t>
      </w:r>
    </w:p>
    <w:p>
      <w:pPr>
        <w:pStyle w:val="Normal"/>
        <w:spacing w:lineRule="auto" w:line="360"/>
        <w:ind w:firstLine="709"/>
        <w:jc w:val="both"/>
        <w:rPr>
          <w:rFonts w:eastAsia="Times New Roman"/>
          <w:sz w:val="28"/>
          <w:szCs w:val="28"/>
        </w:rPr>
      </w:pPr>
      <w:r>
        <w:rPr>
          <w:rFonts w:eastAsia="Times New Roman"/>
          <w:sz w:val="28"/>
          <w:szCs w:val="28"/>
        </w:rPr>
        <w:t>Подводя итог сказанному подчеркнем, что причинение тяжкого вреда здоровью следует отграничивать от смежных составов. Причинение тяжкого вреда здоровью, повлекшее смерть потерпевшего, можно квалифицировать в одних случаях по ст. 105 УК РФ (при установлении умысла на причинение тяжкого вреда здоровью по признаку опасности для жизни с предвидением возможности наступления его смерти), в других – по ч. 4 ст. 111 УК РФ (когда установлено, что виновный не предвидит возможности наступления смерти и есть умысел на причинение тяжкого вреда здоровью, не опасного для жизни, либо умысел на причинение вреда здоровью, оказавшегося тяжким), в третьих - по ст. 109 УК РФ (когда виновное лицо по небрежности не предвидит возможность наступления вредных преступных последствий, либо по легкомыслию создает угрозу жизни человека, предвидя возможность наступления последствий, но реально рассчитывает избежать их).</w:t>
      </w:r>
    </w:p>
    <w:p>
      <w:pPr>
        <w:pStyle w:val="Normal"/>
        <w:spacing w:lineRule="auto" w:line="360"/>
        <w:ind w:firstLine="709"/>
        <w:jc w:val="both"/>
        <w:rPr>
          <w:rFonts w:eastAsia="Times New Roman"/>
          <w:sz w:val="28"/>
          <w:szCs w:val="28"/>
        </w:rPr>
      </w:pPr>
      <w:r>
        <w:rPr>
          <w:rFonts w:eastAsia="Times New Roman"/>
          <w:sz w:val="28"/>
          <w:szCs w:val="28"/>
        </w:rPr>
        <w:t xml:space="preserve">На практике достаточно распространенной ошибкой при квалификации преступного деяния выступает мнение, согласно которому наличие значительного разрыва во времени между причинением вреда здоровью и наступлением смерти требует квалификации по ч. 4 ст. 111 УК РФ. Разграничение убийства и причинения тяжкого вреда здоровью, по неосторожности повлекшего смерть потерпевшего, нужно проводить по субъективной стороне. </w:t>
      </w:r>
    </w:p>
    <w:p>
      <w:pPr>
        <w:pStyle w:val="Normal"/>
        <w:spacing w:lineRule="auto" w:line="360"/>
        <w:ind w:firstLine="709"/>
        <w:jc w:val="both"/>
        <w:rPr>
          <w:rFonts w:eastAsia="Times New Roman"/>
          <w:sz w:val="28"/>
          <w:szCs w:val="28"/>
        </w:rPr>
      </w:pPr>
      <w:r>
        <w:rPr>
          <w:rFonts w:eastAsia="Times New Roman"/>
          <w:sz w:val="28"/>
          <w:szCs w:val="28"/>
        </w:rPr>
        <w:t xml:space="preserve">Нередко ошибки в квалификации рассматриваемых преступлений связаны с отсутствием умений правильно устанавливать обстоятельства дела и устанавливать субъективную сторону уголовного посягательства. Так, обвиняемые в совершении преступления, предусмотренного ч. 4 ст. 111 УК, ссылаются на то, что у них не было желания причинить смерть потерпевшему. Однако общеизвестно, что отсутствие желания не означает отсутствие умысла виновного. </w:t>
      </w:r>
    </w:p>
    <w:p>
      <w:pPr>
        <w:pStyle w:val="Normal"/>
        <w:spacing w:lineRule="auto" w:line="360"/>
        <w:ind w:firstLine="709"/>
        <w:jc w:val="both"/>
        <w:rPr>
          <w:rFonts w:eastAsia="Times New Roman"/>
          <w:sz w:val="28"/>
          <w:szCs w:val="28"/>
        </w:rPr>
      </w:pPr>
      <w:r>
        <w:rPr>
          <w:rFonts w:eastAsia="Times New Roman"/>
          <w:sz w:val="28"/>
          <w:szCs w:val="28"/>
        </w:rPr>
        <w:t>Ошибки в квалификации причинения тяжкого вреда здоровью вытекают из неверной оценки способа причинения вреда, который определяется характером применяемых орудий; силой, числом и локализацией ранений; характером причиняемых повреждений и т.д. Нельзя руководствоваться только тяжестью вредных последствий.</w:t>
      </w:r>
    </w:p>
    <w:p>
      <w:pPr>
        <w:pStyle w:val="Normal"/>
        <w:spacing w:lineRule="auto" w:line="360"/>
        <w:ind w:firstLine="709"/>
        <w:jc w:val="both"/>
        <w:rPr>
          <w:rFonts w:eastAsia="Times New Roman"/>
          <w:sz w:val="28"/>
          <w:szCs w:val="28"/>
        </w:rPr>
      </w:pPr>
      <w:r>
        <w:rPr>
          <w:rFonts w:eastAsia="Times New Roman"/>
          <w:sz w:val="28"/>
          <w:szCs w:val="28"/>
        </w:rPr>
        <w:t>В юридической практике при квалификации причинения тяжкого вреда здоровью, повлекшее смерть потерпевшего в результате преступного бездействия субъекта и оставления в опасности потерпевшего (с последующим наступлением его смерти). Однако объективная сторона рассматриваемых деяний имеет существенное отличие, которое заключается в особенностях субъекта, характером возложенных на него обязанностей или действиями виновного, ставящими потерпевшего в опасность.</w:t>
      </w:r>
    </w:p>
    <w:p>
      <w:pPr>
        <w:pStyle w:val="Normal"/>
        <w:spacing w:lineRule="auto" w:line="360"/>
        <w:ind w:firstLine="709"/>
        <w:jc w:val="both"/>
        <w:rPr>
          <w:sz w:val="28"/>
          <w:szCs w:val="28"/>
        </w:rPr>
      </w:pPr>
      <w:r>
        <w:rPr>
          <w:rFonts w:eastAsia="Times New Roman"/>
          <w:sz w:val="28"/>
          <w:szCs w:val="28"/>
        </w:rPr>
        <w:t>Приведенные примеры ошибок и разночтений в следственно-судебной практике при разрешении вопросов квалификации о причинении тяжкого вреда здоровью свидетельствуют о необходимости принятия Постановления Пленума Верховного Суда Российской Федерации «О судебной практике по уголовным делам о преступлениях против здоровья», которым могли быть разрешены многие ошибки в квалификации рассмотренных противоправных деяний.</w:t>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ind w:firstLine="709"/>
        <w:jc w:val="both"/>
        <w:rPr>
          <w:sz w:val="28"/>
          <w:szCs w:val="28"/>
        </w:rPr>
      </w:pPr>
      <w:r>
        <w:rPr>
          <w:sz w:val="28"/>
          <w:szCs w:val="28"/>
        </w:rPr>
      </w:r>
    </w:p>
    <w:p>
      <w:pPr>
        <w:pStyle w:val="Normal"/>
        <w:spacing w:lineRule="auto" w:line="360"/>
        <w:jc w:val="center"/>
        <w:rPr>
          <w:b/>
          <w:b/>
          <w:sz w:val="28"/>
          <w:szCs w:val="28"/>
        </w:rPr>
      </w:pPr>
      <w:r>
        <w:rPr>
          <w:rFonts w:eastAsia="Times New Roman"/>
          <w:b/>
          <w:sz w:val="28"/>
          <w:szCs w:val="28"/>
        </w:rPr>
        <w:t>ЗАКЛЮЧЕНИЕ</w:t>
      </w:r>
    </w:p>
    <w:p>
      <w:pPr>
        <w:pStyle w:val="Normal"/>
        <w:spacing w:lineRule="auto" w:line="360"/>
        <w:ind w:firstLine="709"/>
        <w:jc w:val="both"/>
        <w:rPr>
          <w:rFonts w:eastAsia="Times New Roman"/>
          <w:sz w:val="28"/>
          <w:szCs w:val="28"/>
        </w:rPr>
      </w:pPr>
      <w:r>
        <w:rPr>
          <w:rFonts w:eastAsia="Times New Roman"/>
          <w:sz w:val="28"/>
          <w:szCs w:val="28"/>
        </w:rPr>
      </w:r>
    </w:p>
    <w:p>
      <w:pPr>
        <w:pStyle w:val="Normal"/>
        <w:spacing w:lineRule="auto" w:line="360"/>
        <w:ind w:firstLine="709"/>
        <w:jc w:val="both"/>
        <w:rPr>
          <w:rFonts w:eastAsia="Times New Roman"/>
          <w:sz w:val="28"/>
          <w:szCs w:val="28"/>
        </w:rPr>
      </w:pPr>
      <w:r>
        <w:rPr>
          <w:rFonts w:eastAsia="Times New Roman"/>
          <w:sz w:val="28"/>
          <w:szCs w:val="28"/>
        </w:rPr>
        <w:t>Проведенное исследование ответственности за причинение тяжкого вреда здоровью позволяет сделать следующие выводы.</w:t>
      </w:r>
    </w:p>
    <w:p>
      <w:pPr>
        <w:pStyle w:val="Normal"/>
        <w:spacing w:lineRule="auto" w:line="360"/>
        <w:ind w:firstLine="709"/>
        <w:jc w:val="both"/>
        <w:rPr>
          <w:rFonts w:eastAsia="Times New Roman"/>
          <w:sz w:val="28"/>
          <w:szCs w:val="28"/>
        </w:rPr>
      </w:pPr>
      <w:r>
        <w:rPr>
          <w:rFonts w:eastAsia="Times New Roman"/>
          <w:sz w:val="28"/>
          <w:szCs w:val="28"/>
        </w:rPr>
        <w:t xml:space="preserve">Несмотря на то, что термин «вред здоровью» в уголовном законодательстве Российской Федерации был введен законодателем в 1996 г., вокруг данного понятия, его сущности ведутся многочисленные дискуссии среди ученых и практических работников. Разрешению данной проблемы могло послужить законодательное закрепление понятия «вред здоровью». </w:t>
      </w:r>
    </w:p>
    <w:p>
      <w:pPr>
        <w:pStyle w:val="Normal"/>
        <w:spacing w:lineRule="auto" w:line="360"/>
        <w:ind w:firstLine="709"/>
        <w:jc w:val="both"/>
        <w:rPr>
          <w:sz w:val="28"/>
          <w:szCs w:val="28"/>
        </w:rPr>
      </w:pPr>
      <w:r>
        <w:rPr>
          <w:sz w:val="28"/>
          <w:szCs w:val="28"/>
        </w:rPr>
        <w:t xml:space="preserve">Объектом уголовно-правовой охраны преступления, предусмотренного ст. 111 УК РФ выступает здоровье человека. </w:t>
      </w:r>
    </w:p>
    <w:p>
      <w:pPr>
        <w:pStyle w:val="Normal"/>
        <w:spacing w:lineRule="auto" w:line="360"/>
        <w:ind w:firstLine="709"/>
        <w:jc w:val="both"/>
        <w:rPr>
          <w:sz w:val="28"/>
          <w:szCs w:val="28"/>
        </w:rPr>
      </w:pPr>
      <w:r>
        <w:rPr>
          <w:sz w:val="28"/>
          <w:szCs w:val="28"/>
        </w:rPr>
        <w:t xml:space="preserve">Объективная сторона причинения тяжкого вреда здоровью человека  может быть совершена как в форме действия, так и бездействия. Тяжкий вред здоровью может быть опасным и не опасным для жизни в момент причинения. Считаем, что тяжкий вред здоровью является опасным для жизни человека, если создает угрозу для жизни или вызывает развитие угрожающего жизни состояния. </w:t>
      </w:r>
    </w:p>
    <w:p>
      <w:pPr>
        <w:pStyle w:val="Normal"/>
        <w:spacing w:lineRule="auto" w:line="360"/>
        <w:ind w:firstLine="709"/>
        <w:jc w:val="both"/>
        <w:rPr>
          <w:sz w:val="28"/>
          <w:szCs w:val="28"/>
        </w:rPr>
      </w:pPr>
      <w:r>
        <w:rPr>
          <w:sz w:val="28"/>
          <w:szCs w:val="28"/>
        </w:rPr>
        <w:t>Законодатель четко определяет, что к причинению тяжкого вреда здоровью относится неизгладимое обезображивание лица, а не других участков тела. Вместе с тем, на наш взгляд, было бы справедливым признавать тяжким вредом здоровью и неизгладимое обезображивание шеи в передней видимой части или волосистого покрова головы в целом, повреждения фронтальной группы зубного ряда. Степень обезображивания лица потерпевшего определяет суд, оценка которого может быть справедливой и несправедливой, исходя из его личных представлений о прекрасном и безобразном. По этой причине вряд ли правильным является наделение суда таким правом. На наш взгляд, подобное положение дел негативно сказывается на авторитете суда, поскольку законом судья наделяется несвойственной ему функцией обвинения.</w:t>
      </w:r>
    </w:p>
    <w:p>
      <w:pPr>
        <w:pStyle w:val="Normal"/>
        <w:spacing w:lineRule="auto" w:line="360"/>
        <w:ind w:firstLine="709"/>
        <w:jc w:val="both"/>
        <w:rPr>
          <w:sz w:val="28"/>
          <w:szCs w:val="28"/>
        </w:rPr>
      </w:pPr>
      <w:r>
        <w:rPr>
          <w:sz w:val="28"/>
          <w:szCs w:val="28"/>
        </w:rPr>
        <w:t xml:space="preserve">Субъективная сторона преступления, предусмотренная ч.1,2,3 ст. 111 УК РФ выражается в вине в форме прямого или косвенного умысла. Между тем в ряде случаев причинение телесного повреждения, опасного для жизни потерпевшего в момент его причинения, может говорить и об умысле лица на убийство. В подобных ситуациях правильная квалификация деяния зависит, прежде всего, направленности и степени конкретизации умысла виновного лица. </w:t>
      </w:r>
    </w:p>
    <w:p>
      <w:pPr>
        <w:pStyle w:val="Normal"/>
        <w:spacing w:lineRule="auto" w:line="360"/>
        <w:ind w:firstLine="709"/>
        <w:jc w:val="both"/>
        <w:rPr>
          <w:sz w:val="28"/>
          <w:szCs w:val="28"/>
        </w:rPr>
      </w:pPr>
      <w:r>
        <w:rPr>
          <w:sz w:val="28"/>
          <w:szCs w:val="28"/>
        </w:rPr>
        <w:t>Вина преступления, предусмотренного ч. 4 ст. 111 УК РФ определяется как некое сочетание в рамках единого психологического процесса умышленного отношения виновного лица к причинению тяжкого вреда здоровью потерпевшего и неосторожного – к последствию от этого – смерти потерпевшего. Между тем в юридической литературе встречается мнение, согласно которому причинение тяжкого вреда здоровью человека, повлекшее его смерть, следует квалифицировать как преступление, совершенное с единственной формой вины - умыслом, который заключается в умышленном создании угрозы причинения смерти. На наш взгляд, правильнее было бы считать преступление, предусмотренное ч. 4 ст. 111 УК РФ, преступлением с двумя формами вины.</w:t>
      </w:r>
    </w:p>
    <w:p>
      <w:pPr>
        <w:pStyle w:val="Normal"/>
        <w:spacing w:lineRule="auto" w:line="360"/>
        <w:ind w:firstLine="709"/>
        <w:jc w:val="both"/>
        <w:rPr>
          <w:sz w:val="28"/>
          <w:szCs w:val="28"/>
        </w:rPr>
      </w:pPr>
      <w:r>
        <w:rPr>
          <w:sz w:val="28"/>
          <w:szCs w:val="28"/>
        </w:rPr>
        <w:t>В качестве субъекта причинения тяжкого вреда здоровью может выступать  вменяемое физическое лицо, достигшее 14-летнего возраста.</w:t>
      </w:r>
    </w:p>
    <w:p>
      <w:pPr>
        <w:pStyle w:val="Normal"/>
        <w:spacing w:lineRule="auto" w:line="360"/>
        <w:ind w:firstLine="709"/>
        <w:jc w:val="both"/>
        <w:rPr>
          <w:sz w:val="28"/>
          <w:szCs w:val="28"/>
        </w:rPr>
      </w:pPr>
      <w:r>
        <w:rPr>
          <w:sz w:val="28"/>
          <w:szCs w:val="28"/>
        </w:rPr>
        <w:t xml:space="preserve">Квалифицирующие признаки I, II и III степени нормативно закреплены в ч. 2, 3 и 4 ст. 111 УК РФ соответственно. Однако ряд отягчающих признаков вызывают определенные сложности при квалификации уголовного посягательства по  соответствующему пункту соответствующей части ст. 111 УК РФ. Так, для квалификации преступного деяния по п. «б» ч. 2 ст. 111 УК РФ важно, чтобы потерпевший изначально находился в беспомощном состоянии, а не был приведен в него действиями виновного. Однако можно ли рассматривать лиц, находящихся в беспомощном состоянии во время сна или сильной степени опьянения? Ответы на данный вопрос среди теоретиков и практиков отличаются. По данному поводу в судебной практике также нет однозначного подхода. На наш взгляд, беспомощное состояние может быть в силу различных обстоятельств и причин, которые должны быть четко нормативно закреплены. </w:t>
      </w:r>
    </w:p>
    <w:p>
      <w:pPr>
        <w:pStyle w:val="Normal"/>
        <w:spacing w:lineRule="auto" w:line="360"/>
        <w:ind w:firstLine="709"/>
        <w:jc w:val="both"/>
        <w:rPr>
          <w:sz w:val="28"/>
          <w:szCs w:val="28"/>
        </w:rPr>
      </w:pPr>
      <w:r>
        <w:rPr>
          <w:sz w:val="28"/>
          <w:szCs w:val="28"/>
        </w:rPr>
        <w:t>В юридической практике при квалификации преступного по ч. 4 ст. 111 УК РФ вызывает определенные сложности проблема установления причинно-следственной связи между умышленным причинением тяжкого вреда здоровью потерпевшего и последствием в виде смерти жертвы. Причинно-следственная связь будет существовать при условии, что смерть была обусловлена именно причинением тяжкого вреда здоровью потерпевшего.</w:t>
      </w:r>
    </w:p>
    <w:p>
      <w:pPr>
        <w:pStyle w:val="Normal"/>
        <w:spacing w:lineRule="auto" w:line="360"/>
        <w:ind w:firstLine="709"/>
        <w:jc w:val="both"/>
        <w:rPr>
          <w:rFonts w:eastAsia="Times New Roman"/>
          <w:sz w:val="28"/>
          <w:szCs w:val="28"/>
        </w:rPr>
      </w:pPr>
      <w:r>
        <w:rPr>
          <w:rFonts w:eastAsia="Times New Roman"/>
          <w:sz w:val="28"/>
          <w:szCs w:val="28"/>
        </w:rPr>
        <w:t>Причинение тяжкого вреда здоровью следует отграничивать от смежных составов. Причинение тяжкого вреда здоровью, повлекшее смерть потерпевшего, можно квалифицировать в одних случаях по ст. 105 УК РФ (при установлении умысла на причинение тяжкого вреда здоровью по признаку опасности для жизни с предвидением возможности наступления его смерти), в других – по ч. 4 ст. 111 УК РФ (когда установлено, что виновный не предвидит возможности наступления смерти и есть умысел на причинение тяжкого вреда здоровью, не опасного для жизни, либо умысел на причинение вреда здоровью, оказавшегося тяжким), в третьих - по ст. 109 УК РФ (когда виновное лицо по небрежности не предвидит возможность наступления вредных преступных последствий, либо по легкомыслию создает угрозу жизни человека, предвидя возможность наступления последствий, но реально рассчитывает избежать их).</w:t>
      </w:r>
    </w:p>
    <w:p>
      <w:pPr>
        <w:pStyle w:val="Normal"/>
        <w:spacing w:lineRule="auto" w:line="360"/>
        <w:ind w:firstLine="709"/>
        <w:jc w:val="both"/>
        <w:rPr>
          <w:rFonts w:eastAsia="Times New Roman"/>
          <w:sz w:val="28"/>
          <w:szCs w:val="28"/>
        </w:rPr>
      </w:pPr>
      <w:r>
        <w:rPr>
          <w:rFonts w:eastAsia="Times New Roman"/>
          <w:sz w:val="28"/>
          <w:szCs w:val="28"/>
        </w:rPr>
        <w:t xml:space="preserve">На практике достаточно распространенной ошибкой при квалификации преступного деяния выступает мнение, согласно которому наличие значительного разрыва во времени между причинением вреда здоровью и наступлением смерти требует квалификации по ч. 4 ст. 111 УК РФ. Разграничение убийства и причинения тяжкого вреда здоровью, по неосторожности повлекшего смерть потерпевшего, нужно проводить по субъективной стороне. </w:t>
      </w:r>
    </w:p>
    <w:p>
      <w:pPr>
        <w:pStyle w:val="Normal"/>
        <w:spacing w:lineRule="auto" w:line="360"/>
        <w:ind w:firstLine="709"/>
        <w:jc w:val="both"/>
        <w:rPr>
          <w:rFonts w:eastAsia="Times New Roman"/>
          <w:sz w:val="28"/>
          <w:szCs w:val="28"/>
        </w:rPr>
      </w:pPr>
      <w:r>
        <w:rPr>
          <w:rFonts w:eastAsia="Times New Roman"/>
          <w:sz w:val="28"/>
          <w:szCs w:val="28"/>
        </w:rPr>
        <w:t>Нередко ошибки в квалификации рассматриваемых преступлений связаны с отсутствием умений правильно устанавливать обстоятельства дела и устанавливать субъективную сторону уголовного посягательства. Ошибки в квалификации причинения тяжкого вреда здоровью вытекают из неверной оценки способа причинения вреда.</w:t>
      </w:r>
    </w:p>
    <w:p>
      <w:pPr>
        <w:pStyle w:val="Normal"/>
        <w:spacing w:lineRule="auto" w:line="360"/>
        <w:ind w:firstLine="709"/>
        <w:jc w:val="both"/>
        <w:rPr/>
      </w:pPr>
      <w:r>
        <w:rPr>
          <w:rFonts w:eastAsia="Times New Roman"/>
          <w:sz w:val="28"/>
          <w:szCs w:val="28"/>
        </w:rPr>
        <w:t>Приведенные примеры ошибок и разночтений в следственно-судебной практике при разрешении вопросов квалификации о причинении тяжкого вреда здоровью свидетельствуют о необходимости принятия Постановления Пленума Верховного Суда Российской Федерации «О судебной практике по уголовным делам о преступлениях против здоровья», которым могли быть разрешены многие ошибки в квалификации рассмотренных противоправных деяний.</w:t>
      </w:r>
    </w:p>
    <w:sectPr>
      <w:footerReference w:type="default" r:id="rId6"/>
      <w:footnotePr>
        <w:numFmt w:val="decimal"/>
        <w:numRestart w:val="eachPage"/>
      </w:footnotePr>
      <w:type w:val="nextPage"/>
      <w:pgSz w:w="11906" w:h="16838"/>
      <w:pgMar w:left="1440" w:right="566" w:header="0" w:top="1125" w:footer="0" w:bottom="392"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swiss"/>
    <w:pitch w:val="default"/>
  </w:font>
  <w:font w:name="Calibri">
    <w:charset w:val="01"/>
    <w:family w:val="swiss"/>
    <w:pitch w:val="default"/>
  </w:font>
  <w:font w:name="PT Sans">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167154302"/>
    </w:sdtPr>
    <w:sdtContent>
      <w:p>
        <w:pPr>
          <w:pStyle w:val="Style28"/>
          <w:jc w:val="center"/>
          <w:rPr/>
        </w:pPr>
        <w:r>
          <w:rPr/>
          <w:fldChar w:fldCharType="begin"/>
        </w:r>
        <w:r>
          <w:rPr/>
          <w:instrText> PAGE </w:instrText>
        </w:r>
        <w:r>
          <w:rPr/>
          <w:fldChar w:fldCharType="separate"/>
        </w:r>
        <w:r>
          <w:rPr/>
          <w:t>3</w:t>
        </w:r>
        <w:r>
          <w:rPr/>
          <w:fldChar w:fldCharType="end"/>
        </w:r>
      </w:p>
    </w:sdtContent>
  </w:sdt>
  <w:p>
    <w:pPr>
      <w:pStyle w:val="Style28"/>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915531941"/>
    </w:sdtPr>
    <w:sdtContent>
      <w:p>
        <w:pPr>
          <w:pStyle w:val="Style28"/>
          <w:jc w:val="center"/>
          <w:rPr/>
        </w:pPr>
        <w:r>
          <w:rPr/>
          <w:fldChar w:fldCharType="begin"/>
        </w:r>
        <w:r>
          <w:rPr/>
          <w:instrText> PAGE </w:instrText>
        </w:r>
        <w:r>
          <w:rPr/>
          <w:fldChar w:fldCharType="separate"/>
        </w:r>
        <w:r>
          <w:rPr/>
          <w:t>4</w:t>
        </w:r>
        <w:r>
          <w:rPr/>
          <w:fldChar w:fldCharType="end"/>
        </w:r>
      </w:p>
    </w:sdtContent>
  </w:sdt>
  <w:p>
    <w:pPr>
      <w:pStyle w:val="Style28"/>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81168781"/>
    </w:sdtPr>
    <w:sdtContent>
      <w:p>
        <w:pPr>
          <w:pStyle w:val="Style28"/>
          <w:jc w:val="center"/>
          <w:rPr/>
        </w:pPr>
        <w:r>
          <w:rPr/>
          <w:fldChar w:fldCharType="begin"/>
        </w:r>
        <w:r>
          <w:rPr/>
          <w:instrText> PAGE </w:instrText>
        </w:r>
        <w:r>
          <w:rPr/>
          <w:fldChar w:fldCharType="separate"/>
        </w:r>
        <w:r>
          <w:rPr/>
          <w:t>6</w:t>
        </w:r>
        <w:r>
          <w:rPr/>
          <w:fldChar w:fldCharType="end"/>
        </w:r>
      </w:p>
    </w:sdtContent>
  </w:sdt>
  <w:p>
    <w:pPr>
      <w:pStyle w:val="Style28"/>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98842920"/>
    </w:sdtPr>
    <w:sdtContent>
      <w:p>
        <w:pPr>
          <w:pStyle w:val="Style28"/>
          <w:jc w:val="center"/>
          <w:rPr/>
        </w:pPr>
        <w:r>
          <w:rPr/>
          <w:fldChar w:fldCharType="begin"/>
        </w:r>
        <w:r>
          <w:rPr/>
          <w:instrText> PAGE </w:instrText>
        </w:r>
        <w:r>
          <w:rPr/>
          <w:fldChar w:fldCharType="separate"/>
        </w:r>
        <w:r>
          <w:rPr/>
          <w:t>31</w:t>
        </w:r>
        <w:r>
          <w:rPr/>
          <w:fldChar w:fldCharType="end"/>
        </w:r>
      </w:p>
    </w:sdtContent>
  </w:sdt>
  <w:p>
    <w:pPr>
      <w:pStyle w:val="Style28"/>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84341332"/>
    </w:sdtPr>
    <w:sdtContent>
      <w:p>
        <w:pPr>
          <w:pStyle w:val="Style28"/>
          <w:jc w:val="center"/>
          <w:rPr/>
        </w:pPr>
        <w:r>
          <w:rPr/>
          <w:fldChar w:fldCharType="begin"/>
        </w:r>
        <w:r>
          <w:rPr/>
          <w:instrText> PAGE </w:instrText>
        </w:r>
        <w:r>
          <w:rPr/>
          <w:fldChar w:fldCharType="separate"/>
        </w:r>
        <w:r>
          <w:rPr/>
          <w:t>43</w:t>
        </w:r>
        <w:r>
          <w:rPr/>
          <w:fldChar w:fldCharType="end"/>
        </w:r>
      </w:p>
    </w:sdtContent>
  </w:sdt>
  <w:p>
    <w:pPr>
      <w:pStyle w:val="Style28"/>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27"/>
        <w:jc w:val="both"/>
        <w:rPr/>
      </w:pPr>
      <w:r>
        <w:rPr>
          <w:rStyle w:val="Style19"/>
        </w:rPr>
        <w:footnoteRef/>
      </w:r>
      <w:r>
        <w:rPr/>
        <w:t xml:space="preserve"> </w:t>
      </w:r>
      <w:r>
        <w:rPr/>
        <w:t xml:space="preserve">Краткая характеристика состояния преступности в Российской Федерации за январь - декабрь 2020 года. Официальный сайт Министерства внутренних дел российской Федерации. [Электронный ресурс] // Режим доступа: // </w:t>
      </w:r>
      <w:hyperlink r:id="rId1">
        <w:r>
          <w:rPr>
            <w:rStyle w:val="Style14"/>
          </w:rPr>
          <w:t>https://xn--b1aew.xn--p1ai/reports/item/22678184/</w:t>
        </w:r>
      </w:hyperlink>
      <w:r>
        <w:rPr/>
        <w:t xml:space="preserve"> (дата обращения 21.02.2021).</w:t>
      </w:r>
    </w:p>
  </w:footnote>
  <w:footnote w:id="3">
    <w:p>
      <w:pPr>
        <w:pStyle w:val="Style27"/>
        <w:jc w:val="both"/>
        <w:rPr/>
      </w:pPr>
      <w:r>
        <w:rPr>
          <w:rStyle w:val="Style19"/>
        </w:rPr>
        <w:footnoteRef/>
      </w:r>
      <w:r>
        <w:rPr/>
        <w:t xml:space="preserve"> </w:t>
      </w:r>
      <w:r>
        <w:rPr/>
        <w:t xml:space="preserve">Отчет о числе осужденных по всем составам преступлений Уголовного кодекса Российской Федерации» за 1 полугодие 2020 г.  Официальный сайт Судебного Департамента при Верховном Суде РФ  [Электронный ресурс] // Режим доступа: // </w:t>
      </w:r>
      <w:hyperlink r:id="rId2">
        <w:r>
          <w:rPr>
            <w:rStyle w:val="Style14"/>
          </w:rPr>
          <w:t>http://cdep.ru/index.php?id=79&amp;item=5460</w:t>
        </w:r>
      </w:hyperlink>
      <w:r>
        <w:rPr/>
        <w:t xml:space="preserve"> (дата обращения 21.02.2021).</w:t>
      </w:r>
    </w:p>
  </w:footnote>
  <w:footnote w:id="4">
    <w:p>
      <w:pPr>
        <w:pStyle w:val="Style27"/>
        <w:jc w:val="both"/>
        <w:rPr/>
      </w:pPr>
      <w:r>
        <w:rPr>
          <w:rStyle w:val="Style19"/>
        </w:rPr>
        <w:footnoteRef/>
      </w:r>
      <w:r>
        <w:rPr/>
        <w:t xml:space="preserve"> </w:t>
      </w:r>
      <w:r>
        <w:rPr/>
        <w:t>Анисимова, И.А. Вред, причиненный здоровью человека: понятие, виды / И.А. Анисимова // Вестник Томского государственного университета. 2007. № 302. С. 113.</w:t>
      </w:r>
    </w:p>
  </w:footnote>
  <w:footnote w:id="5">
    <w:p>
      <w:pPr>
        <w:pStyle w:val="Style27"/>
        <w:jc w:val="both"/>
        <w:rPr/>
      </w:pPr>
      <w:r>
        <w:rPr>
          <w:rStyle w:val="Style19"/>
        </w:rPr>
        <w:footnoteRef/>
      </w:r>
      <w:r>
        <w:rPr/>
        <w:t xml:space="preserve"> </w:t>
      </w:r>
      <w:r>
        <w:rPr/>
        <w:t>Немтинов, Д.В. Умышленное причинение тяжкого вреда здоровью, проблемы квалификации / Д.В. Немтинов // Вестник Тамбовского университета. Серия: Гуманитарные науки. – 2013. – Том 117. Выпуск 1. - С. 331.</w:t>
      </w:r>
    </w:p>
  </w:footnote>
  <w:footnote w:id="6">
    <w:p>
      <w:pPr>
        <w:pStyle w:val="Style27"/>
        <w:jc w:val="both"/>
        <w:rPr/>
      </w:pPr>
      <w:r>
        <w:rPr>
          <w:rStyle w:val="Style19"/>
        </w:rPr>
        <w:footnoteRef/>
      </w:r>
      <w:r>
        <w:rPr/>
        <w:t xml:space="preserve"> </w:t>
      </w:r>
      <w:r>
        <w:rPr/>
        <w:t>Жукова, В.К. Понятие телесного повреждения / В,К. Жукова // Вестник Московского университета. Сер. Право. - 1965. - № 4. - С.42.</w:t>
      </w:r>
    </w:p>
  </w:footnote>
  <w:footnote w:id="7">
    <w:p>
      <w:pPr>
        <w:pStyle w:val="Style27"/>
        <w:jc w:val="both"/>
        <w:rPr/>
      </w:pPr>
      <w:r>
        <w:rPr>
          <w:rStyle w:val="Style19"/>
        </w:rPr>
        <w:footnoteRef/>
      </w:r>
      <w:r>
        <w:rPr/>
        <w:t xml:space="preserve"> </w:t>
      </w:r>
      <w:r>
        <w:rPr/>
        <w:t>Векленко, В., Галюкова, М. Уголовно-правовой анализ понятия «вред здоровью» / В. Векленко, М. Галюкова // Уголовное право. – 2007. - № 1. - С.8.</w:t>
      </w:r>
    </w:p>
  </w:footnote>
  <w:footnote w:id="8">
    <w:p>
      <w:pPr>
        <w:pStyle w:val="Style27"/>
        <w:jc w:val="both"/>
        <w:rPr/>
      </w:pPr>
      <w:r>
        <w:rPr>
          <w:rStyle w:val="Style19"/>
        </w:rPr>
        <w:footnoteRef/>
      </w:r>
      <w:r>
        <w:rPr/>
        <w:t xml:space="preserve"> </w:t>
      </w:r>
      <w:r>
        <w:rPr/>
        <w:t>Думан, С.И. Основания уголовной ответственности за умышленное причинение тяжкого вреда здоровью по ч. 1 ст. 111 УК РФ / С.И. Думан // Вестник СамГУ. - 2009. - № 7 (13). - С. 240.</w:t>
      </w:r>
    </w:p>
  </w:footnote>
  <w:footnote w:id="9">
    <w:p>
      <w:pPr>
        <w:pStyle w:val="Style27"/>
        <w:jc w:val="both"/>
        <w:rPr/>
      </w:pPr>
      <w:r>
        <w:rPr>
          <w:rStyle w:val="Style19"/>
        </w:rPr>
        <w:footnoteRef/>
      </w:r>
      <w:r>
        <w:rPr/>
        <w:t xml:space="preserve"> </w:t>
      </w:r>
      <w:r>
        <w:rPr/>
        <w:t>Шишков, С.Н. Психическое расстройство как разновидность вреда, причиненного здоровью потерпевшего / С.Н. Шишков // Законность. - 2010.  № 8. - С. 30.</w:t>
      </w:r>
    </w:p>
  </w:footnote>
  <w:footnote w:id="10">
    <w:p>
      <w:pPr>
        <w:pStyle w:val="Style27"/>
        <w:jc w:val="both"/>
        <w:rPr/>
      </w:pPr>
      <w:r>
        <w:rPr>
          <w:rStyle w:val="Style19"/>
        </w:rPr>
        <w:footnoteRef/>
      </w:r>
      <w:r>
        <w:rPr/>
        <w:t xml:space="preserve"> </w:t>
      </w:r>
      <w:r>
        <w:rPr/>
        <w:t>Зубкова, В.И. Ответственность за преступления против личности по законодательству России: монография / В.И. Зубкова. – М.: Норма, 2005. - С. 108-109.</w:t>
      </w:r>
    </w:p>
  </w:footnote>
  <w:footnote w:id="11">
    <w:p>
      <w:pPr>
        <w:pStyle w:val="Style27"/>
        <w:jc w:val="both"/>
        <w:rPr/>
      </w:pPr>
      <w:r>
        <w:rPr>
          <w:rStyle w:val="Style19"/>
        </w:rPr>
        <w:footnoteRef/>
      </w:r>
      <w:r>
        <w:rPr/>
        <w:t xml:space="preserve"> </w:t>
      </w:r>
      <w:r>
        <w:rPr/>
        <w:t>Клевно, В.А. Медицинские критерии вреда здоровью: экспертная и правоприменительная практика / В.А. Клевно. // Теория и практика судебной экспертизы. - 2013. - № 3 (31). - С.112.</w:t>
      </w:r>
    </w:p>
  </w:footnote>
  <w:footnote w:id="12">
    <w:p>
      <w:pPr>
        <w:pStyle w:val="Style27"/>
        <w:jc w:val="both"/>
        <w:rPr/>
      </w:pPr>
      <w:r>
        <w:rPr>
          <w:rStyle w:val="Style19"/>
        </w:rPr>
        <w:footnoteRef/>
      </w:r>
      <w:r>
        <w:rPr/>
        <w:t xml:space="preserve"> </w:t>
      </w:r>
      <w:r>
        <w:rPr/>
        <w:t>Российское уголовное право. Особенная часть: учебник для вузов / под ред. В.П. Коняхина и М.Л. Прохоровой.- М.: Норма, 2015. - С. 113.</w:t>
      </w:r>
    </w:p>
  </w:footnote>
  <w:footnote w:id="13">
    <w:p>
      <w:pPr>
        <w:pStyle w:val="Style27"/>
        <w:jc w:val="both"/>
        <w:rPr/>
      </w:pPr>
      <w:r>
        <w:rPr>
          <w:rStyle w:val="Style19"/>
        </w:rPr>
        <w:footnoteRef/>
      </w:r>
      <w:r>
        <w:rPr/>
        <w:t xml:space="preserve"> </w:t>
      </w:r>
      <w:r>
        <w:rPr/>
        <w:t>Корчагин, А.Г., Федотова, Н.П. Уголовно-правовая политика борьбы с преступлениями умышленного причинения тяжкого вреда здоровью: монография. - М.: Юрлитинформ, 2014. - С. 57.</w:t>
      </w:r>
    </w:p>
  </w:footnote>
  <w:footnote w:id="14">
    <w:p>
      <w:pPr>
        <w:pStyle w:val="Style27"/>
        <w:jc w:val="both"/>
        <w:rPr/>
      </w:pPr>
      <w:r>
        <w:rPr>
          <w:rStyle w:val="Style19"/>
        </w:rPr>
        <w:footnoteRef/>
      </w:r>
      <w:r>
        <w:rPr/>
        <w:t xml:space="preserve"> </w:t>
      </w:r>
      <w:r>
        <w:rPr/>
        <w:t>Поздеев, А.Р., Жиделев. Г.В., Селезнева, Т.Е., Козаков, Р.Н., Бабушкина, К.А. Об уточнении признака «неизгладимое обезображивание лица» / А.Р. Поздеев, Г.В. Жиделев, Т.Е. Селезнева, Р.Н. Козаков, К.А. Бабушкина // Проблемы экспедиции в медицине. – 2013. - Том 13. № 2 (50). - С. 20.</w:t>
      </w:r>
    </w:p>
  </w:footnote>
  <w:footnote w:id="15">
    <w:p>
      <w:pPr>
        <w:pStyle w:val="Style27"/>
        <w:jc w:val="both"/>
        <w:rPr/>
      </w:pPr>
      <w:r>
        <w:rPr>
          <w:rStyle w:val="Style19"/>
        </w:rPr>
        <w:footnoteRef/>
      </w:r>
      <w:r>
        <w:rPr/>
        <w:t xml:space="preserve"> </w:t>
      </w:r>
      <w:r>
        <w:rPr/>
        <w:t>Шаматульский, А.А. Неизгладимое обезображивание лица как признак тяжкого вреда здоровью / А.А. Шаматульский // Актуальные проблемы российского права. - 2014. - №8 (45). - С. 1720.</w:t>
      </w:r>
    </w:p>
  </w:footnote>
  <w:footnote w:id="16">
    <w:p>
      <w:pPr>
        <w:pStyle w:val="Style27"/>
        <w:jc w:val="both"/>
        <w:rPr/>
      </w:pPr>
      <w:r>
        <w:rPr>
          <w:rStyle w:val="Style19"/>
        </w:rPr>
        <w:footnoteRef/>
      </w:r>
      <w:r>
        <w:rPr/>
        <w:t xml:space="preserve"> </w:t>
      </w:r>
      <w:r>
        <w:rPr/>
        <w:t>Яровенко В.В. О проблемах понятия и квалификации неизгладимого обезображивания лица / В.В. Яровенко // Право и политика. - 2015. - № 4 (84). - С. 577.</w:t>
      </w:r>
    </w:p>
  </w:footnote>
  <w:footnote w:id="17">
    <w:p>
      <w:pPr>
        <w:pStyle w:val="Style27"/>
        <w:jc w:val="both"/>
        <w:rPr/>
      </w:pPr>
      <w:r>
        <w:rPr>
          <w:rStyle w:val="Style19"/>
        </w:rPr>
        <w:footnoteRef/>
      </w:r>
      <w:r>
        <w:rPr/>
        <w:t xml:space="preserve"> </w:t>
      </w:r>
      <w:r>
        <w:rPr/>
        <w:t>п. 20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 № 194 н. // Российская газета. -2008. - 5 сент. - № 188.</w:t>
      </w:r>
    </w:p>
  </w:footnote>
  <w:footnote w:id="18">
    <w:p>
      <w:pPr>
        <w:pStyle w:val="Style27"/>
        <w:jc w:val="both"/>
        <w:rPr/>
      </w:pPr>
      <w:r>
        <w:rPr>
          <w:rStyle w:val="Style19"/>
        </w:rPr>
        <w:footnoteRef/>
      </w:r>
      <w:r>
        <w:rPr/>
        <w:t xml:space="preserve"> </w:t>
      </w:r>
      <w:r>
        <w:rPr/>
        <w:t xml:space="preserve">Приговор суда по ч. 1 ст. 111 УК РФ № 1-86/2017 (1-710/2016;) | Умышленное причинение тяжкого вреда здоровью. [Электронный ресурс] // Режим доступа: // </w:t>
      </w:r>
      <w:hyperlink r:id="rId3">
        <w:r>
          <w:rPr>
            <w:rStyle w:val="Style14"/>
          </w:rPr>
          <w:t>https://sud-praktika.ru/precedent/548176.html</w:t>
        </w:r>
      </w:hyperlink>
      <w:r>
        <w:rPr/>
        <w:t xml:space="preserve"> (дата обращения 25.02.2021).</w:t>
      </w:r>
    </w:p>
  </w:footnote>
  <w:footnote w:id="19">
    <w:p>
      <w:pPr>
        <w:pStyle w:val="Style27"/>
        <w:jc w:val="both"/>
        <w:rPr/>
      </w:pPr>
      <w:r>
        <w:rPr>
          <w:rStyle w:val="Style19"/>
        </w:rPr>
        <w:footnoteRef/>
      </w:r>
      <w:r>
        <w:rPr/>
        <w:t xml:space="preserve"> </w:t>
      </w:r>
      <w:r>
        <w:rPr/>
        <w:t>Расторопов, С.В. Содержание субъективной стороны преступлений против здоровья человека / С.В. Расторопов // Законность. - 2004. - № 2. - С. 56.</w:t>
      </w:r>
    </w:p>
  </w:footnote>
  <w:footnote w:id="20">
    <w:p>
      <w:pPr>
        <w:pStyle w:val="Style27"/>
        <w:jc w:val="both"/>
        <w:rPr/>
      </w:pPr>
      <w:r>
        <w:rPr>
          <w:rStyle w:val="Style19"/>
        </w:rPr>
        <w:footnoteRef/>
      </w:r>
      <w:r>
        <w:rPr/>
        <w:t xml:space="preserve"> </w:t>
      </w:r>
      <w:r>
        <w:rPr/>
        <w:t>Кружкова, Я.А. Особенности вины при причинении тяжкого вреда здоровью, повлекшего смерть потерпевшего (часть 4 статьи 111 УК РФ) / Я.А. Кружкова // Российский следователь. - 2011. - № 9. - С. 25.</w:t>
      </w:r>
    </w:p>
  </w:footnote>
  <w:footnote w:id="21">
    <w:p>
      <w:pPr>
        <w:pStyle w:val="Style27"/>
        <w:jc w:val="both"/>
        <w:rPr/>
      </w:pPr>
      <w:r>
        <w:rPr>
          <w:rStyle w:val="Style19"/>
        </w:rPr>
        <w:footnoteRef/>
      </w:r>
      <w:r>
        <w:rPr/>
        <w:t xml:space="preserve"> </w:t>
      </w:r>
      <w:r>
        <w:rPr/>
        <w:t>Под индивидуальными качествами виновного понимаются его интеллектуальные возможности, его физическое и психическое состояние, жизненный опыт, степень восприимчивости и т.п.</w:t>
      </w:r>
    </w:p>
  </w:footnote>
  <w:footnote w:id="22">
    <w:p>
      <w:pPr>
        <w:pStyle w:val="Style27"/>
        <w:jc w:val="both"/>
        <w:rPr/>
      </w:pPr>
      <w:r>
        <w:rPr>
          <w:rStyle w:val="Style19"/>
        </w:rPr>
        <w:footnoteRef/>
      </w:r>
      <w:r>
        <w:rPr/>
        <w:t xml:space="preserve"> </w:t>
      </w:r>
      <w:r>
        <w:rPr/>
        <w:t>Лукьянов, В.С. Исключить из УК статью об ответственности за преступления с двумя формами вины / В.С. Лукьянов // Российская юстиция. - 2002. - № 3. - С. 58.</w:t>
      </w:r>
    </w:p>
  </w:footnote>
  <w:footnote w:id="23">
    <w:p>
      <w:pPr>
        <w:pStyle w:val="Style27"/>
        <w:jc w:val="both"/>
        <w:rPr/>
      </w:pPr>
      <w:r>
        <w:rPr>
          <w:rStyle w:val="Style19"/>
        </w:rPr>
        <w:footnoteRef/>
      </w:r>
      <w:r>
        <w:rPr/>
        <w:t xml:space="preserve"> </w:t>
      </w:r>
      <w:r>
        <w:rPr/>
        <w:t xml:space="preserve">п. 7 Постановления Пленума Верховного Суда РФ от 27 января 1999 г. № 1 «О судебной практике по делам об убийстве (ст. 105 УК РФ)» (ред. от 03.03.2015) // Бюллетень Верховного Суда РФ. - 1999. - № 3. </w:t>
      </w:r>
    </w:p>
  </w:footnote>
  <w:footnote w:id="24">
    <w:p>
      <w:pPr>
        <w:pStyle w:val="Style27"/>
        <w:jc w:val="both"/>
        <w:rPr/>
      </w:pPr>
      <w:r>
        <w:rPr>
          <w:rStyle w:val="Style19"/>
        </w:rPr>
        <w:footnoteRef/>
      </w:r>
      <w:r>
        <w:rPr/>
        <w:t xml:space="preserve"> </w:t>
      </w:r>
      <w:r>
        <w:rPr/>
        <w:t>п. 8 Постановления Пленума Верховного Суда РФ от 27 января 1999 г. № 1 «О судебной практике по делам об убийстве (ст. 105 УК РФ)» (ред. от 03.03.2015) // Бюллетень Верховного Суда РФ. - 1999. - № 3.</w:t>
      </w:r>
    </w:p>
  </w:footnote>
  <w:footnote w:id="25">
    <w:p>
      <w:pPr>
        <w:pStyle w:val="Style27"/>
        <w:jc w:val="both"/>
        <w:rPr/>
      </w:pPr>
      <w:r>
        <w:rPr>
          <w:rStyle w:val="Style19"/>
        </w:rPr>
        <w:footnoteRef/>
      </w:r>
      <w:r>
        <w:rPr/>
        <w:t xml:space="preserve"> </w:t>
      </w:r>
      <w:r>
        <w:rPr/>
        <w:t>Савельева, О.Ю. Ответственность за умышленное причинение тяжкого вреда здоровью по мотиву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О.Ю. Савельева // Вектор науки ТГУ. - 2009. - № 5 (8). - С. 112-113.</w:t>
      </w:r>
    </w:p>
  </w:footnote>
  <w:footnote w:id="26">
    <w:p>
      <w:pPr>
        <w:pStyle w:val="Style27"/>
        <w:jc w:val="both"/>
        <w:rPr/>
      </w:pPr>
      <w:r>
        <w:rPr>
          <w:rStyle w:val="Style19"/>
        </w:rPr>
        <w:footnoteRef/>
      </w:r>
      <w:r>
        <w:rPr/>
        <w:t xml:space="preserve"> </w:t>
      </w:r>
      <w:r>
        <w:rPr/>
        <w:t>Тихонова, С.С. Прижизненное и посмертное донорство в Российской Федерации: вопросы уголовно-правового регулирования: монография / С.С. Тихонова. - СПб.: Юридический центр Пресс, 2002. - С. 73.</w:t>
      </w:r>
    </w:p>
  </w:footnote>
  <w:footnote w:id="27">
    <w:p>
      <w:pPr>
        <w:pStyle w:val="Style27"/>
        <w:jc w:val="both"/>
        <w:rPr/>
      </w:pPr>
      <w:r>
        <w:rPr>
          <w:rStyle w:val="Style19"/>
        </w:rPr>
        <w:footnoteRef/>
      </w:r>
      <w:r>
        <w:rPr/>
        <w:t xml:space="preserve"> </w:t>
      </w:r>
      <w:r>
        <w:rPr/>
        <w:t xml:space="preserve">Приговор суда по ч. 2 ст. 111 УК РФ № 1-805/2017 | Умышленное причинение тяжкого вреда здоровью. [Электронный ресурс] // Режим доступа: // </w:t>
      </w:r>
      <w:hyperlink r:id="rId4">
        <w:r>
          <w:rPr>
            <w:rStyle w:val="Style14"/>
          </w:rPr>
          <w:t>https://sud-praktika.ru/precedent/548070.html</w:t>
        </w:r>
      </w:hyperlink>
      <w:r>
        <w:rPr/>
        <w:t xml:space="preserve"> (дата обращения 15.02.2021).</w:t>
      </w:r>
    </w:p>
  </w:footnote>
  <w:footnote w:id="28">
    <w:p>
      <w:pPr>
        <w:pStyle w:val="Style27"/>
        <w:jc w:val="both"/>
        <w:rPr/>
      </w:pPr>
      <w:r>
        <w:rPr>
          <w:rStyle w:val="Style19"/>
        </w:rPr>
        <w:footnoteRef/>
      </w:r>
      <w:r>
        <w:rPr/>
        <w:t xml:space="preserve"> </w:t>
      </w:r>
      <w:r>
        <w:rPr/>
        <w:t xml:space="preserve">Приговор суда по ч. 3 ст. 111 УК РФ № 1-353/2017 | Умышленное причинение тяжкого вреда здоровью.  [Электронный ресурс] // Режим доступа: // </w:t>
      </w:r>
      <w:hyperlink r:id="rId5">
        <w:r>
          <w:rPr>
            <w:rStyle w:val="Style14"/>
          </w:rPr>
          <w:t>https://sud-praktika.ru/precedent/548002.html</w:t>
        </w:r>
      </w:hyperlink>
      <w:r>
        <w:rPr/>
        <w:t xml:space="preserve"> (дата обращения 15.02.2021).</w:t>
      </w:r>
    </w:p>
  </w:footnote>
  <w:footnote w:id="29">
    <w:p>
      <w:pPr>
        <w:pStyle w:val="Style27"/>
        <w:jc w:val="both"/>
        <w:rPr/>
      </w:pPr>
      <w:r>
        <w:rPr>
          <w:rStyle w:val="Style19"/>
        </w:rPr>
        <w:footnoteRef/>
      </w:r>
      <w:r>
        <w:rPr/>
        <w:t xml:space="preserve"> </w:t>
      </w:r>
      <w:r>
        <w:rPr/>
        <w:t xml:space="preserve">Приговор суда по ч. 3 ст. 111 УК РФ № 1-342/2017 | Умышленное причинение тяжкого вреда здоровью. [Электронный ресурс] // Режим доступа: // </w:t>
      </w:r>
      <w:hyperlink r:id="rId6">
        <w:r>
          <w:rPr>
            <w:rStyle w:val="Style14"/>
          </w:rPr>
          <w:t>https://sud-praktika.ru/precedent/546798.html</w:t>
        </w:r>
      </w:hyperlink>
      <w:r>
        <w:rPr/>
        <w:t xml:space="preserve"> (дата обращения 24.02.2021).</w:t>
      </w:r>
    </w:p>
  </w:footnote>
  <w:footnote w:id="30">
    <w:p>
      <w:pPr>
        <w:pStyle w:val="Style27"/>
        <w:jc w:val="both"/>
        <w:rPr/>
      </w:pPr>
      <w:r>
        <w:rPr>
          <w:rStyle w:val="Style19"/>
        </w:rPr>
        <w:footnoteRef/>
      </w:r>
      <w:r>
        <w:rPr/>
        <w:t xml:space="preserve"> </w:t>
      </w:r>
      <w:r>
        <w:rPr/>
        <w:t xml:space="preserve">Определение Судебной коллегии по уголовным делам Верховного Суда РФ № 5-АПУ19-43 // Обзор судебной практики Верховного Суда РФ № 3 (2019), утвержден Президиумом Верховного Суда Российской Федерации 27 ноября 2019 г. [Электронный ресурс] // Режим доступа: // </w:t>
      </w:r>
      <w:hyperlink r:id="rId7">
        <w:r>
          <w:rPr>
            <w:rStyle w:val="Style14"/>
          </w:rPr>
          <w:t>http://supcourt.ru/documents/practice/28477/</w:t>
        </w:r>
      </w:hyperlink>
      <w:r>
        <w:rPr/>
        <w:t xml:space="preserve"> (дата обращения 25.02.2021).</w:t>
      </w:r>
    </w:p>
  </w:footnote>
  <w:footnote w:id="31">
    <w:p>
      <w:pPr>
        <w:pStyle w:val="Style27"/>
        <w:jc w:val="both"/>
        <w:rPr/>
      </w:pPr>
      <w:r>
        <w:rPr>
          <w:rStyle w:val="Style19"/>
        </w:rPr>
        <w:footnoteRef/>
      </w:r>
      <w:r>
        <w:rPr/>
        <w:t xml:space="preserve"> </w:t>
      </w:r>
      <w:r>
        <w:rPr/>
        <w:t xml:space="preserve">Приговор суда по ч. 4 ст. 111 УК РФ № 1-50/2017 (1-616/2016;) | Умышленное причинение тяжкого вреда здоровью [Электронный ресурс] // Режим доступа: // </w:t>
      </w:r>
      <w:hyperlink r:id="rId8">
        <w:r>
          <w:rPr>
            <w:rStyle w:val="Style14"/>
          </w:rPr>
          <w:t>https://sud-praktika.ru/precedent/547818.html</w:t>
        </w:r>
      </w:hyperlink>
      <w:r>
        <w:rPr/>
        <w:t xml:space="preserve"> (дата обращения 26.02.2021). </w:t>
      </w:r>
    </w:p>
  </w:footnote>
  <w:footnote w:id="32">
    <w:p>
      <w:pPr>
        <w:pStyle w:val="Style27"/>
        <w:jc w:val="both"/>
        <w:rPr/>
      </w:pPr>
      <w:r>
        <w:rPr>
          <w:rStyle w:val="Style19"/>
        </w:rPr>
        <w:footnoteRef/>
      </w:r>
      <w:r>
        <w:rPr/>
        <w:t xml:space="preserve"> </w:t>
      </w:r>
      <w:r>
        <w:rPr/>
        <w:t xml:space="preserve">Приговор суда по ч. 1 ст. 109 УК РФ № 1-409/2017 | Причинение смерти по неосторожности. [Электронный ресурс] // Режим доступа: // </w:t>
      </w:r>
      <w:hyperlink r:id="rId9">
        <w:r>
          <w:rPr>
            <w:rStyle w:val="Style14"/>
          </w:rPr>
          <w:t>https://sud-praktika.ru/precedent/456150.html</w:t>
        </w:r>
      </w:hyperlink>
      <w:r>
        <w:rPr/>
        <w:t xml:space="preserve"> (дата обращения 26.02.2021).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28"/>
        <w:b/>
      </w:rPr>
    </w:lvl>
    <w:lvl w:ilvl="1">
      <w:start w:val="4"/>
      <w:numFmt w:val="decimal"/>
      <w:lvlText w:val="%1.%2"/>
      <w:lvlJc w:val="left"/>
      <w:pPr>
        <w:ind w:left="735" w:hanging="375"/>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
    <w:lvl w:ilvl="0">
      <w:start w:val="1"/>
      <w:numFmt w:val="decimal"/>
      <w:lvlText w:val="%1"/>
      <w:lvlJc w:val="left"/>
      <w:pPr>
        <w:ind w:left="375" w:hanging="375"/>
      </w:pPr>
      <w:rPr>
        <w:b/>
        <w:rFonts w:eastAsia="Times New Roman"/>
      </w:rPr>
    </w:lvl>
    <w:lvl w:ilvl="1">
      <w:start w:val="1"/>
      <w:numFmt w:val="decimal"/>
      <w:lvlText w:val="%1.%2"/>
      <w:lvlJc w:val="left"/>
      <w:pPr>
        <w:ind w:left="1084" w:hanging="375"/>
      </w:pPr>
      <w:rPr>
        <w:sz w:val="28"/>
        <w:b/>
        <w:rFonts w:eastAsia="Times New Roman"/>
      </w:rPr>
    </w:lvl>
    <w:lvl w:ilvl="2">
      <w:start w:val="1"/>
      <w:numFmt w:val="decimal"/>
      <w:lvlText w:val="%1.%2.%3"/>
      <w:lvlJc w:val="left"/>
      <w:pPr>
        <w:ind w:left="2138" w:hanging="720"/>
      </w:pPr>
      <w:rPr>
        <w:b/>
        <w:rFonts w:eastAsia="Times New Roman"/>
      </w:rPr>
    </w:lvl>
    <w:lvl w:ilvl="3">
      <w:start w:val="1"/>
      <w:numFmt w:val="decimal"/>
      <w:lvlText w:val="%1.%2.%3.%4"/>
      <w:lvlJc w:val="left"/>
      <w:pPr>
        <w:ind w:left="3207" w:hanging="1080"/>
      </w:pPr>
      <w:rPr>
        <w:b/>
        <w:rFonts w:eastAsia="Times New Roman"/>
      </w:rPr>
    </w:lvl>
    <w:lvl w:ilvl="4">
      <w:start w:val="1"/>
      <w:numFmt w:val="decimal"/>
      <w:lvlText w:val="%1.%2.%3.%4.%5"/>
      <w:lvlJc w:val="left"/>
      <w:pPr>
        <w:ind w:left="3916" w:hanging="1080"/>
      </w:pPr>
      <w:rPr>
        <w:b/>
        <w:rFonts w:eastAsia="Times New Roman"/>
      </w:rPr>
    </w:lvl>
    <w:lvl w:ilvl="5">
      <w:start w:val="1"/>
      <w:numFmt w:val="decimal"/>
      <w:lvlText w:val="%1.%2.%3.%4.%5.%6"/>
      <w:lvlJc w:val="left"/>
      <w:pPr>
        <w:ind w:left="4985" w:hanging="1440"/>
      </w:pPr>
      <w:rPr>
        <w:b/>
        <w:rFonts w:eastAsia="Times New Roman"/>
      </w:rPr>
    </w:lvl>
    <w:lvl w:ilvl="6">
      <w:start w:val="1"/>
      <w:numFmt w:val="decimal"/>
      <w:lvlText w:val="%1.%2.%3.%4.%5.%6.%7"/>
      <w:lvlJc w:val="left"/>
      <w:pPr>
        <w:ind w:left="5694" w:hanging="1440"/>
      </w:pPr>
      <w:rPr>
        <w:b/>
        <w:rFonts w:eastAsia="Times New Roman"/>
      </w:rPr>
    </w:lvl>
    <w:lvl w:ilvl="7">
      <w:start w:val="1"/>
      <w:numFmt w:val="decimal"/>
      <w:lvlText w:val="%1.%2.%3.%4.%5.%6.%7.%8"/>
      <w:lvlJc w:val="left"/>
      <w:pPr>
        <w:ind w:left="6763" w:hanging="1800"/>
      </w:pPr>
      <w:rPr>
        <w:b/>
        <w:rFonts w:eastAsia="Times New Roman"/>
      </w:rPr>
    </w:lvl>
    <w:lvl w:ilvl="8">
      <w:start w:val="1"/>
      <w:numFmt w:val="decimal"/>
      <w:lvlText w:val="%1.%2.%3.%4.%5.%6.%7.%8.%9"/>
      <w:lvlJc w:val="left"/>
      <w:pPr>
        <w:ind w:left="7832" w:hanging="2160"/>
      </w:pPr>
      <w:rPr>
        <w:b/>
        <w:rFonts w:eastAsia="Times New Roman"/>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3"/>
  <w:defaultTabStop w:val="720"/>
  <w:footnotePr>
    <w:numFmt w:val="decimal"/>
    <w:numRestart w:val="eachPage"/>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Times New Roman" w:eastAsiaTheme="minorEastAsia"/>
        <w:sz w:val="22"/>
        <w:szCs w:val="22"/>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jc w:val="left"/>
    </w:pPr>
    <w:rPr>
      <w:rFonts w:ascii="Times New Roman" w:hAnsi="Times New Roman" w:eastAsia="" w:cs="Times New Roman" w:eastAsiaTheme="minorEastAsia"/>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4d5bdc"/>
    <w:rPr>
      <w:color w:val="0000FF"/>
      <w:u w:val="single"/>
    </w:rPr>
  </w:style>
  <w:style w:type="character" w:styleId="Style15" w:customStyle="1">
    <w:name w:val="Текст сноски Знак"/>
    <w:basedOn w:val="DefaultParagraphFont"/>
    <w:link w:val="a5"/>
    <w:uiPriority w:val="99"/>
    <w:qFormat/>
    <w:rsid w:val="00f61218"/>
    <w:rPr>
      <w:sz w:val="20"/>
      <w:szCs w:val="20"/>
    </w:rPr>
  </w:style>
  <w:style w:type="character" w:styleId="Style16">
    <w:name w:val="Привязка сноски"/>
    <w:rPr>
      <w:vertAlign w:val="superscript"/>
    </w:rPr>
  </w:style>
  <w:style w:type="character" w:styleId="FootnoteCharacters">
    <w:name w:val="Footnote Characters"/>
    <w:basedOn w:val="DefaultParagraphFont"/>
    <w:uiPriority w:val="99"/>
    <w:semiHidden/>
    <w:unhideWhenUsed/>
    <w:qFormat/>
    <w:rsid w:val="00f61218"/>
    <w:rPr>
      <w:vertAlign w:val="superscript"/>
    </w:rPr>
  </w:style>
  <w:style w:type="character" w:styleId="Style17" w:customStyle="1">
    <w:name w:val="Нижний колонтитул Знак"/>
    <w:basedOn w:val="DefaultParagraphFont"/>
    <w:link w:val="a8"/>
    <w:uiPriority w:val="99"/>
    <w:qFormat/>
    <w:rsid w:val="00f50fa2"/>
    <w:rPr>
      <w:rFonts w:ascii="Calibri" w:hAnsi="Calibri" w:eastAsia="Calibri"/>
      <w:lang w:eastAsia="en-US"/>
    </w:rPr>
  </w:style>
  <w:style w:type="character" w:styleId="Pagenumber">
    <w:name w:val="page number"/>
    <w:basedOn w:val="DefaultParagraphFont"/>
    <w:qFormat/>
    <w:rsid w:val="00f50fa2"/>
    <w:rPr/>
  </w:style>
  <w:style w:type="character" w:styleId="Style18" w:customStyle="1">
    <w:name w:val="Верхний колонтитул Знак"/>
    <w:basedOn w:val="DefaultParagraphFont"/>
    <w:link w:val="ab"/>
    <w:uiPriority w:val="99"/>
    <w:qFormat/>
    <w:rsid w:val="00835f61"/>
    <w:rPr/>
  </w:style>
  <w:style w:type="character" w:styleId="ListLabel1">
    <w:name w:val="ListLabel 1"/>
    <w:qFormat/>
    <w:rPr>
      <w:b/>
      <w:sz w:val="28"/>
    </w:rPr>
  </w:style>
  <w:style w:type="character" w:styleId="ListLabel2">
    <w:name w:val="ListLabel 2"/>
    <w:qFormat/>
    <w:rPr>
      <w:rFonts w:eastAsia="Times New Roman"/>
      <w:b/>
    </w:rPr>
  </w:style>
  <w:style w:type="character" w:styleId="ListLabel3">
    <w:name w:val="ListLabel 3"/>
    <w:qFormat/>
    <w:rPr>
      <w:rFonts w:eastAsia="Times New Roman"/>
      <w:b/>
      <w:sz w:val="28"/>
    </w:rPr>
  </w:style>
  <w:style w:type="character" w:styleId="ListLabel4">
    <w:name w:val="ListLabel 4"/>
    <w:qFormat/>
    <w:rPr>
      <w:rFonts w:eastAsia="Times New Roman"/>
      <w:b/>
    </w:rPr>
  </w:style>
  <w:style w:type="character" w:styleId="ListLabel5">
    <w:name w:val="ListLabel 5"/>
    <w:qFormat/>
    <w:rPr>
      <w:rFonts w:eastAsia="Times New Roman"/>
      <w:b/>
    </w:rPr>
  </w:style>
  <w:style w:type="character" w:styleId="ListLabel6">
    <w:name w:val="ListLabel 6"/>
    <w:qFormat/>
    <w:rPr>
      <w:rFonts w:eastAsia="Times New Roman"/>
      <w:b/>
    </w:rPr>
  </w:style>
  <w:style w:type="character" w:styleId="ListLabel7">
    <w:name w:val="ListLabel 7"/>
    <w:qFormat/>
    <w:rPr>
      <w:rFonts w:eastAsia="Times New Roman"/>
      <w:b/>
    </w:rPr>
  </w:style>
  <w:style w:type="character" w:styleId="ListLabel8">
    <w:name w:val="ListLabel 8"/>
    <w:qFormat/>
    <w:rPr>
      <w:rFonts w:eastAsia="Times New Roman"/>
      <w:b/>
    </w:rPr>
  </w:style>
  <w:style w:type="character" w:styleId="ListLabel9">
    <w:name w:val="ListLabel 9"/>
    <w:qFormat/>
    <w:rPr>
      <w:rFonts w:eastAsia="Times New Roman"/>
      <w:b/>
    </w:rPr>
  </w:style>
  <w:style w:type="character" w:styleId="ListLabel10">
    <w:name w:val="ListLabel 10"/>
    <w:qFormat/>
    <w:rPr>
      <w:rFonts w:eastAsia="Times New Roman"/>
      <w:b/>
    </w:rPr>
  </w:style>
  <w:style w:type="character" w:styleId="Style19">
    <w:name w:val="Символ сноски"/>
    <w:qFormat/>
    <w:rPr/>
  </w:style>
  <w:style w:type="character" w:styleId="Style20">
    <w:name w:val="Привязка концевой сноски"/>
    <w:rPr>
      <w:vertAlign w:val="superscript"/>
    </w:rPr>
  </w:style>
  <w:style w:type="character" w:styleId="Style21">
    <w:name w:val="Символ концевой сноски"/>
    <w:qFormat/>
    <w:rPr/>
  </w:style>
  <w:style w:type="paragraph" w:styleId="Style22">
    <w:name w:val="Заголовок"/>
    <w:basedOn w:val="Normal"/>
    <w:next w:val="Style23"/>
    <w:qFormat/>
    <w:pPr>
      <w:keepNext w:val="true"/>
      <w:spacing w:before="240" w:after="120"/>
    </w:pPr>
    <w:rPr>
      <w:rFonts w:ascii="PT Sans" w:hAnsi="PT Sans" w:eastAsia="Tahoma" w:cs="Noto Sans Devanagari"/>
      <w:sz w:val="28"/>
      <w:szCs w:val="28"/>
    </w:rPr>
  </w:style>
  <w:style w:type="paragraph" w:styleId="Style23">
    <w:name w:val="Body Text"/>
    <w:basedOn w:val="Normal"/>
    <w:pPr>
      <w:spacing w:lineRule="auto" w:line="276" w:before="0" w:after="140"/>
    </w:pPr>
    <w:rPr/>
  </w:style>
  <w:style w:type="paragraph" w:styleId="Style24">
    <w:name w:val="List"/>
    <w:basedOn w:val="Style23"/>
    <w:pPr/>
    <w:rPr>
      <w:rFonts w:ascii="PT Sans" w:hAnsi="PT Sans" w:cs="Noto Sans Devanagari"/>
    </w:rPr>
  </w:style>
  <w:style w:type="paragraph" w:styleId="Style25">
    <w:name w:val="Caption"/>
    <w:basedOn w:val="Normal"/>
    <w:qFormat/>
    <w:pPr>
      <w:suppressLineNumbers/>
      <w:spacing w:before="120" w:after="120"/>
    </w:pPr>
    <w:rPr>
      <w:rFonts w:ascii="PT Sans" w:hAnsi="PT Sans" w:cs="Noto Sans Devanagari"/>
      <w:i/>
      <w:iCs/>
      <w:sz w:val="24"/>
      <w:szCs w:val="24"/>
    </w:rPr>
  </w:style>
  <w:style w:type="paragraph" w:styleId="Style26">
    <w:name w:val="Указатель"/>
    <w:basedOn w:val="Normal"/>
    <w:qFormat/>
    <w:pPr>
      <w:suppressLineNumbers/>
    </w:pPr>
    <w:rPr>
      <w:rFonts w:ascii="PT Sans" w:hAnsi="PT Sans" w:cs="Noto Sans Devanagari"/>
    </w:rPr>
  </w:style>
  <w:style w:type="paragraph" w:styleId="ListParagraph">
    <w:name w:val="List Paragraph"/>
    <w:basedOn w:val="Normal"/>
    <w:uiPriority w:val="34"/>
    <w:qFormat/>
    <w:rsid w:val="00eb639c"/>
    <w:pPr>
      <w:spacing w:before="0" w:after="0"/>
      <w:ind w:left="720" w:hanging="0"/>
      <w:contextualSpacing/>
    </w:pPr>
    <w:rPr/>
  </w:style>
  <w:style w:type="paragraph" w:styleId="Style27">
    <w:name w:val="Footnote Text"/>
    <w:basedOn w:val="Normal"/>
    <w:link w:val="a6"/>
    <w:uiPriority w:val="99"/>
    <w:unhideWhenUsed/>
    <w:rsid w:val="00f61218"/>
    <w:pPr/>
    <w:rPr>
      <w:sz w:val="20"/>
      <w:szCs w:val="20"/>
    </w:rPr>
  </w:style>
  <w:style w:type="paragraph" w:styleId="Style28">
    <w:name w:val="Footer"/>
    <w:basedOn w:val="Normal"/>
    <w:link w:val="a9"/>
    <w:uiPriority w:val="99"/>
    <w:unhideWhenUsed/>
    <w:rsid w:val="00f50fa2"/>
    <w:pPr>
      <w:tabs>
        <w:tab w:val="clear" w:pos="720"/>
        <w:tab w:val="center" w:pos="4677" w:leader="none"/>
        <w:tab w:val="right" w:pos="9355" w:leader="none"/>
      </w:tabs>
    </w:pPr>
    <w:rPr>
      <w:rFonts w:ascii="Calibri" w:hAnsi="Calibri" w:eastAsia="Calibri"/>
      <w:lang w:eastAsia="en-US"/>
    </w:rPr>
  </w:style>
  <w:style w:type="paragraph" w:styleId="Style29">
    <w:name w:val="Header"/>
    <w:basedOn w:val="Normal"/>
    <w:link w:val="ac"/>
    <w:uiPriority w:val="99"/>
    <w:unhideWhenUsed/>
    <w:rsid w:val="00835f61"/>
    <w:pPr>
      <w:tabs>
        <w:tab w:val="clear" w:pos="720"/>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xn--b1aew.xn--p1ai/reports/item/22678184/" TargetMode="External"/><Relationship Id="rId2" Type="http://schemas.openxmlformats.org/officeDocument/2006/relationships/hyperlink" Target="http://cdep.ru/index.php?id=79&amp;item=5460" TargetMode="External"/><Relationship Id="rId3" Type="http://schemas.openxmlformats.org/officeDocument/2006/relationships/hyperlink" Target="https://sud-praktika.ru/precedent/548176.html" TargetMode="External"/><Relationship Id="rId4" Type="http://schemas.openxmlformats.org/officeDocument/2006/relationships/hyperlink" Target="https://sud-praktika.ru/precedent/548070.html" TargetMode="External"/><Relationship Id="rId5" Type="http://schemas.openxmlformats.org/officeDocument/2006/relationships/hyperlink" Target="https://sud-praktika.ru/precedent/548002.html" TargetMode="External"/><Relationship Id="rId6" Type="http://schemas.openxmlformats.org/officeDocument/2006/relationships/hyperlink" Target="https://sud-praktika.ru/precedent/546798.html" TargetMode="External"/><Relationship Id="rId7" Type="http://schemas.openxmlformats.org/officeDocument/2006/relationships/hyperlink" Target="http://supcourt.ru/documents/practice/28477/" TargetMode="External"/><Relationship Id="rId8" Type="http://schemas.openxmlformats.org/officeDocument/2006/relationships/hyperlink" Target="https://sud-praktika.ru/precedent/547818.html" TargetMode="External"/><Relationship Id="rId9" Type="http://schemas.openxmlformats.org/officeDocument/2006/relationships/hyperlink" Target="https://sud-praktika.ru/precedent/456150.html"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41CCC-B93F-4B8A-9670-299B32750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3603</TotalTime>
  <Application>LibreOffice/6.1.5.2$Linux_X86_64 LibreOffice_project/10$Build-2</Application>
  <Pages>11</Pages>
  <Words>11540</Words>
  <Characters>78728</Characters>
  <CharactersWithSpaces>91341</CharactersWithSpaces>
  <Paragraphs>394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2021-02-20T11:13:00Z</dcterms:created>
  <dc:creator>Windows User</dc:creator>
  <dc:description/>
  <dc:language>ru-RU</dc:language>
  <cp:lastModifiedBy>Home</cp:lastModifiedBy>
  <dcterms:modified xsi:type="dcterms:W3CDTF">2021-03-03T15:46:00Z</dcterms:modified>
  <cp:revision>438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