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BF13D">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sdt>
      <w:sdtPr>
        <w:rPr>
          <w:rFonts w:asciiTheme="minorHAnsi" w:hAnsiTheme="minorHAnsi" w:eastAsiaTheme="minorHAnsi" w:cstheme="minorBidi"/>
          <w:color w:val="auto"/>
          <w:sz w:val="22"/>
          <w:szCs w:val="22"/>
          <w:lang w:eastAsia="en-US"/>
        </w:rPr>
        <w:id w:val="-1790127830"/>
        <w:docPartObj>
          <w:docPartGallery w:val="Table of Contents"/>
          <w:docPartUnique/>
        </w:docPartObj>
      </w:sdtPr>
      <w:sdtEndPr>
        <w:rPr>
          <w:rFonts w:asciiTheme="minorHAnsi" w:hAnsiTheme="minorHAnsi" w:eastAsiaTheme="minorHAnsi" w:cstheme="minorBidi"/>
          <w:b/>
          <w:bCs/>
          <w:color w:val="auto"/>
          <w:sz w:val="22"/>
          <w:szCs w:val="22"/>
          <w:lang w:eastAsia="en-US"/>
        </w:rPr>
      </w:sdtEndPr>
      <w:sdtContent>
        <w:p w14:paraId="4799E5B2">
          <w:pPr>
            <w:pStyle w:val="20"/>
          </w:pPr>
        </w:p>
        <w:p w14:paraId="78224040">
          <w:pPr>
            <w:pStyle w:val="11"/>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TOC \o "1-3" \h \z \u </w:instrText>
          </w:r>
          <w:r>
            <w:fldChar w:fldCharType="separate"/>
          </w:r>
          <w:r>
            <w:fldChar w:fldCharType="begin"/>
          </w:r>
          <w:r>
            <w:instrText xml:space="preserve"> HYPERLINK \l "_Toc189409716" </w:instrText>
          </w:r>
          <w:r>
            <w:fldChar w:fldCharType="separate"/>
          </w:r>
          <w:r>
            <w:rPr>
              <w:rStyle w:val="7"/>
              <w:rFonts w:ascii="Times New Roman" w:hAnsi="Times New Roman" w:cs="Times New Roman"/>
              <w:b/>
              <w:bCs/>
              <w:sz w:val="28"/>
              <w:szCs w:val="28"/>
            </w:rPr>
            <w:t>В</w:t>
          </w:r>
          <w:r>
            <w:rPr>
              <w:rStyle w:val="7"/>
              <w:rFonts w:ascii="Times New Roman" w:hAnsi="Times New Roman" w:cs="Times New Roman"/>
              <w:b/>
              <w:bCs/>
              <w:sz w:val="28"/>
              <w:szCs w:val="28"/>
              <w:lang w:val="ru-RU"/>
            </w:rPr>
            <w:t>В</w:t>
          </w:r>
          <w:r>
            <w:rPr>
              <w:rStyle w:val="7"/>
              <w:rFonts w:ascii="Times New Roman" w:hAnsi="Times New Roman" w:cs="Times New Roman"/>
              <w:b/>
              <w:bCs/>
              <w:sz w:val="28"/>
              <w:szCs w:val="28"/>
            </w:rPr>
            <w:t>ЕДЕНИЕ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_Toc189409716 \h </w:instrText>
          </w:r>
          <w:r>
            <w:rPr>
              <w:rFonts w:ascii="Times New Roman" w:hAnsi="Times New Roman" w:cs="Times New Roman"/>
              <w:sz w:val="28"/>
              <w:szCs w:val="28"/>
            </w:rPr>
            <w:fldChar w:fldCharType="separate"/>
          </w:r>
          <w:r>
            <w:rPr>
              <w:rFonts w:ascii="Times New Roman" w:hAnsi="Times New Roman" w:cs="Times New Roman"/>
              <w:sz w:val="28"/>
              <w:szCs w:val="28"/>
            </w:rPr>
            <w:t>3</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5507D8A6">
          <w:pPr>
            <w:pStyle w:val="11"/>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"_Toc189409717" </w:instrText>
          </w:r>
          <w:r>
            <w:fldChar w:fldCharType="separate"/>
          </w:r>
          <w:r>
            <w:rPr>
              <w:rStyle w:val="7"/>
              <w:rFonts w:ascii="Times New Roman" w:hAnsi="Times New Roman" w:cs="Times New Roman"/>
              <w:b/>
              <w:bCs/>
              <w:sz w:val="28"/>
              <w:szCs w:val="28"/>
            </w:rPr>
            <w:t>1 Объективные признаки преступления, предусмотренного ст. 159.1 УК РФ</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_Toc189409717 \h </w:instrText>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90F4CD2">
          <w:pPr>
            <w:pStyle w:val="12"/>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"_Toc189409718" </w:instrText>
          </w:r>
          <w:r>
            <w:fldChar w:fldCharType="separate"/>
          </w:r>
          <w:r>
            <w:rPr>
              <w:rStyle w:val="7"/>
              <w:rFonts w:ascii="Times New Roman" w:hAnsi="Times New Roman" w:cs="Times New Roman"/>
              <w:sz w:val="28"/>
              <w:szCs w:val="28"/>
            </w:rPr>
            <w:t>1.1 Объект преступления по ст. 159.1 УК РФ</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_Toc189409718 \h </w:instrText>
          </w:r>
          <w:r>
            <w:rPr>
              <w:rFonts w:ascii="Times New Roman" w:hAnsi="Times New Roman" w:cs="Times New Roman"/>
              <w:sz w:val="28"/>
              <w:szCs w:val="28"/>
            </w:rPr>
            <w:fldChar w:fldCharType="separate"/>
          </w:r>
          <w:r>
            <w:rPr>
              <w:rFonts w:ascii="Times New Roman" w:hAnsi="Times New Roman" w:cs="Times New Roman"/>
              <w:sz w:val="28"/>
              <w:szCs w:val="28"/>
            </w:rPr>
            <w:t>5</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B02D913">
          <w:pPr>
            <w:pStyle w:val="12"/>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"_Toc189409719" </w:instrText>
          </w:r>
          <w:r>
            <w:fldChar w:fldCharType="separate"/>
          </w:r>
          <w:r>
            <w:rPr>
              <w:rStyle w:val="7"/>
              <w:rFonts w:ascii="Times New Roman" w:hAnsi="Times New Roman" w:cs="Times New Roman"/>
              <w:sz w:val="28"/>
              <w:szCs w:val="28"/>
            </w:rPr>
            <w:t>1.2 Объективная сторона состава преступления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_Toc189409719 \h </w:instrText>
          </w:r>
          <w:r>
            <w:rPr>
              <w:rFonts w:ascii="Times New Roman" w:hAnsi="Times New Roman" w:cs="Times New Roman"/>
              <w:sz w:val="28"/>
              <w:szCs w:val="28"/>
            </w:rPr>
            <w:fldChar w:fldCharType="separate"/>
          </w:r>
          <w:r>
            <w:rPr>
              <w:rFonts w:ascii="Times New Roman" w:hAnsi="Times New Roman" w:cs="Times New Roman"/>
              <w:sz w:val="28"/>
              <w:szCs w:val="28"/>
            </w:rPr>
            <w:t>19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74E7E00">
          <w:pPr>
            <w:pStyle w:val="11"/>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"_Toc189409720" </w:instrText>
          </w:r>
          <w:r>
            <w:fldChar w:fldCharType="separate"/>
          </w:r>
          <w:r>
            <w:rPr>
              <w:rStyle w:val="7"/>
              <w:rFonts w:ascii="Times New Roman" w:hAnsi="Times New Roman" w:cs="Times New Roman"/>
              <w:b/>
              <w:bCs/>
              <w:sz w:val="28"/>
              <w:szCs w:val="28"/>
            </w:rPr>
            <w:t>2 Субъективные признаки состава преступления, предусмотренного ст. 159.1 УК РФ</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_Toc189409720 \h </w:instrText>
          </w:r>
          <w:r>
            <w:rPr>
              <w:rFonts w:ascii="Times New Roman" w:hAnsi="Times New Roman" w:cs="Times New Roman"/>
              <w:sz w:val="28"/>
              <w:szCs w:val="28"/>
            </w:rPr>
            <w:fldChar w:fldCharType="separate"/>
          </w:r>
          <w:r>
            <w:rPr>
              <w:rFonts w:ascii="Times New Roman" w:hAnsi="Times New Roman" w:cs="Times New Roman"/>
              <w:sz w:val="28"/>
              <w:szCs w:val="28"/>
            </w:rPr>
            <w:t>29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2944A682">
          <w:pPr>
            <w:pStyle w:val="12"/>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"_Toc189409721" </w:instrText>
          </w:r>
          <w:r>
            <w:fldChar w:fldCharType="separate"/>
          </w:r>
          <w:r>
            <w:rPr>
              <w:rStyle w:val="7"/>
              <w:rFonts w:ascii="Times New Roman" w:hAnsi="Times New Roman" w:cs="Times New Roman"/>
              <w:sz w:val="28"/>
              <w:szCs w:val="28"/>
            </w:rPr>
            <w:t>2.1 Субъект и субъективные признаки преступления по ст. 159.1 УК РФ</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_Toc189409721 \h </w:instrText>
          </w:r>
          <w:r>
            <w:rPr>
              <w:rFonts w:ascii="Times New Roman" w:hAnsi="Times New Roman" w:cs="Times New Roman"/>
              <w:sz w:val="28"/>
              <w:szCs w:val="28"/>
            </w:rPr>
            <w:fldChar w:fldCharType="separate"/>
          </w:r>
          <w:r>
            <w:rPr>
              <w:rFonts w:ascii="Times New Roman" w:hAnsi="Times New Roman" w:cs="Times New Roman"/>
              <w:sz w:val="28"/>
              <w:szCs w:val="28"/>
            </w:rPr>
            <w:t>29</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49B4A144">
          <w:pPr>
            <w:pStyle w:val="12"/>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"_Toc189409722" </w:instrText>
          </w:r>
          <w:r>
            <w:fldChar w:fldCharType="separate"/>
          </w:r>
          <w:r>
            <w:rPr>
              <w:rStyle w:val="7"/>
              <w:rFonts w:ascii="Times New Roman" w:hAnsi="Times New Roman" w:cs="Times New Roman"/>
              <w:sz w:val="28"/>
              <w:szCs w:val="28"/>
            </w:rPr>
            <w:t>2.2 Актуальные проблемы квалификация мошенничества в сфере кредитования</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_Toc189409722 \h </w:instrText>
          </w:r>
          <w:r>
            <w:rPr>
              <w:rFonts w:ascii="Times New Roman" w:hAnsi="Times New Roman" w:cs="Times New Roman"/>
              <w:sz w:val="28"/>
              <w:szCs w:val="28"/>
            </w:rPr>
            <w:fldChar w:fldCharType="separate"/>
          </w:r>
          <w:r>
            <w:rPr>
              <w:rFonts w:ascii="Times New Roman" w:hAnsi="Times New Roman" w:cs="Times New Roman"/>
              <w:sz w:val="28"/>
              <w:szCs w:val="28"/>
            </w:rPr>
            <w:t>42</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19B97F4">
          <w:pPr>
            <w:pStyle w:val="11"/>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"_Toc189409723" </w:instrText>
          </w:r>
          <w:r>
            <w:fldChar w:fldCharType="separate"/>
          </w:r>
          <w:r>
            <w:rPr>
              <w:rStyle w:val="7"/>
              <w:rFonts w:ascii="Times New Roman" w:hAnsi="Times New Roman" w:cs="Times New Roman"/>
              <w:b/>
              <w:bCs/>
              <w:sz w:val="28"/>
              <w:szCs w:val="28"/>
              <w:lang w:val="ru-RU"/>
            </w:rPr>
            <w:t>ЗА</w:t>
          </w:r>
          <w:r>
            <w:rPr>
              <w:rStyle w:val="7"/>
              <w:rFonts w:ascii="Times New Roman" w:hAnsi="Times New Roman" w:cs="Times New Roman"/>
              <w:b/>
              <w:bCs/>
              <w:sz w:val="28"/>
              <w:szCs w:val="28"/>
            </w:rPr>
            <w:t>КЛЮЧЕНИЕ</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_Toc189409723 \h </w:instrText>
          </w:r>
          <w:r>
            <w:rPr>
              <w:rFonts w:ascii="Times New Roman" w:hAnsi="Times New Roman" w:cs="Times New Roman"/>
              <w:sz w:val="28"/>
              <w:szCs w:val="28"/>
            </w:rPr>
            <w:fldChar w:fldCharType="separate"/>
          </w:r>
          <w:r>
            <w:rPr>
              <w:rFonts w:ascii="Times New Roman" w:hAnsi="Times New Roman" w:cs="Times New Roman"/>
              <w:sz w:val="28"/>
              <w:szCs w:val="28"/>
            </w:rPr>
            <w:t>56</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392134D9">
          <w:pPr>
            <w:pStyle w:val="11"/>
            <w:tabs>
              <w:tab w:val="right" w:leader="dot" w:pos="9345"/>
            </w:tabs>
            <w:spacing w:after="0" w:line="360" w:lineRule="auto"/>
            <w:jc w:val="both"/>
            <w:rPr>
              <w:rFonts w:ascii="Times New Roman" w:hAnsi="Times New Roman" w:cs="Times New Roman" w:eastAsiaTheme="minorEastAsia"/>
              <w:sz w:val="28"/>
              <w:szCs w:val="28"/>
              <w:lang w:eastAsia="ru-RU"/>
            </w:rPr>
          </w:pPr>
          <w:r>
            <w:fldChar w:fldCharType="begin"/>
          </w:r>
          <w:r>
            <w:instrText xml:space="preserve"> HYPERLINK \l "_Toc189409724" </w:instrText>
          </w:r>
          <w:r>
            <w:fldChar w:fldCharType="separate"/>
          </w:r>
          <w:r>
            <w:rPr>
              <w:rStyle w:val="7"/>
              <w:rFonts w:ascii="Times New Roman" w:hAnsi="Times New Roman" w:cs="Times New Roman"/>
              <w:b/>
              <w:bCs/>
              <w:sz w:val="28"/>
              <w:szCs w:val="28"/>
              <w:lang w:val="ru-RU"/>
            </w:rPr>
            <w:t>СП</w:t>
          </w:r>
          <w:r>
            <w:rPr>
              <w:rStyle w:val="7"/>
              <w:rFonts w:ascii="Times New Roman" w:hAnsi="Times New Roman" w:cs="Times New Roman"/>
              <w:b/>
              <w:bCs/>
              <w:sz w:val="28"/>
              <w:szCs w:val="28"/>
            </w:rPr>
            <w:t>ИСОК ИСПОЛЬЗОВАННЫХ ИСТОЧНИКОВ</w:t>
          </w:r>
          <w:r>
            <w:rPr>
              <w:rFonts w:ascii="Times New Roman" w:hAnsi="Times New Roman" w:cs="Times New Roman"/>
              <w:sz w:val="28"/>
              <w:szCs w:val="28"/>
            </w:rPr>
            <w:tab/>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PAGEREF _Toc189409724 \h </w:instrText>
          </w:r>
          <w:r>
            <w:rPr>
              <w:rFonts w:ascii="Times New Roman" w:hAnsi="Times New Roman" w:cs="Times New Roman"/>
              <w:sz w:val="28"/>
              <w:szCs w:val="28"/>
            </w:rPr>
            <w:fldChar w:fldCharType="separate"/>
          </w:r>
          <w:r>
            <w:rPr>
              <w:rFonts w:ascii="Times New Roman" w:hAnsi="Times New Roman" w:cs="Times New Roman"/>
              <w:sz w:val="28"/>
              <w:szCs w:val="28"/>
            </w:rPr>
            <w:t>60</w:t>
          </w:r>
          <w:r>
            <w:rPr>
              <w:rFonts w:ascii="Times New Roman" w:hAnsi="Times New Roman" w:cs="Times New Roman"/>
              <w:sz w:val="28"/>
              <w:szCs w:val="28"/>
            </w:rPr>
            <w:fldChar w:fldCharType="end"/>
          </w:r>
          <w:r>
            <w:rPr>
              <w:rFonts w:ascii="Times New Roman" w:hAnsi="Times New Roman" w:cs="Times New Roman"/>
              <w:sz w:val="28"/>
              <w:szCs w:val="28"/>
            </w:rPr>
            <w:fldChar w:fldCharType="end"/>
          </w:r>
        </w:p>
        <w:p w14:paraId="760DB268">
          <w:r>
            <w:rPr>
              <w:b/>
              <w:bCs/>
            </w:rPr>
            <w:fldChar w:fldCharType="end"/>
          </w:r>
        </w:p>
      </w:sdtContent>
    </w:sdt>
    <w:p w14:paraId="4E50AC24">
      <w:pPr>
        <w:pStyle w:val="2"/>
        <w:spacing w:before="0" w:line="360" w:lineRule="auto"/>
        <w:jc w:val="center"/>
        <w:rPr>
          <w:rFonts w:ascii="Times New Roman" w:hAnsi="Times New Roman" w:cs="Times New Roman"/>
          <w:b/>
          <w:bCs/>
          <w:color w:val="auto"/>
          <w:sz w:val="28"/>
          <w:szCs w:val="28"/>
        </w:rPr>
        <w:sectPr>
          <w:headerReference r:id="rId6" w:type="first"/>
          <w:footerReference r:id="rId8" w:type="first"/>
          <w:headerReference r:id="rId5" w:type="default"/>
          <w:footerReference r:id="rId7" w:type="default"/>
          <w:pgSz w:w="11906" w:h="16838"/>
          <w:pgMar w:top="1134" w:right="850" w:bottom="1134" w:left="1701" w:header="708" w:footer="708" w:gutter="0"/>
          <w:cols w:space="708" w:num="1"/>
          <w:titlePg/>
          <w:docGrid w:linePitch="360" w:charSpace="0"/>
        </w:sectPr>
      </w:pPr>
      <w:bookmarkStart w:id="0" w:name="_Toc189409716"/>
    </w:p>
    <w:p w14:paraId="3C37309E">
      <w:pPr>
        <w:pStyle w:val="2"/>
        <w:spacing w:before="0" w:line="36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ВВЕДЕНИЕ</w:t>
      </w:r>
      <w:bookmarkEnd w:id="0"/>
    </w:p>
    <w:p w14:paraId="2C51022E">
      <w:pPr>
        <w:rPr>
          <w:rFonts w:ascii="Times New Roman" w:hAnsi="Times New Roman" w:cs="Times New Roman"/>
          <w:sz w:val="28"/>
          <w:szCs w:val="28"/>
        </w:rPr>
      </w:pPr>
    </w:p>
    <w:p w14:paraId="3ACD5D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Актуальность темы исследования обусловлена тем, что мошенничество в сфере кредитования является одной из самых острых проблем, с которыми сталкиваются как финансовые учреждения, так и их клиенты. В последние десятилетия с развитием информационных технологий, появлением новых финансовых инструментов и методов кредитования наблюдается значительный рост случаев мошенничества в данной сфере. Это представляет угрозу не только для экономической безопасности отдельных граждан и организаций, но и для стабильности финансовой системы в целом.</w:t>
      </w:r>
    </w:p>
    <w:p w14:paraId="739A18C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Важность изучения этой темы обусловлена необходимостью разработки эффективных механизмов предотвращения и борьбы с мошенничеством. По данным правоохранительных органов, количество преступлений, связанных с обманом в сфере кредитования, ежегодно растет. Особую обеспокоенность вызывает использование злоумышленниками современных технологий, таких как поддельные документы, схемы социальной инженерии и использование утечек данных.</w:t>
      </w:r>
    </w:p>
    <w:p w14:paraId="79B6756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исследования – исследование механизмов мошенничества в сфере кредитования, анализ причин его возникновения и способов борьбы с этим преступлением.</w:t>
      </w:r>
    </w:p>
    <w:p w14:paraId="67C286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цели поставлены следующие задачи:</w:t>
      </w:r>
    </w:p>
    <w:p w14:paraId="2CAF8C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проанализировать объект и объективную сторону;</w:t>
      </w:r>
    </w:p>
    <w:p w14:paraId="65B307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выявить основные признаки мошенничества в сфере кредитования;</w:t>
      </w:r>
    </w:p>
    <w:p w14:paraId="202FF1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охарактеризовать субъект преступления;</w:t>
      </w:r>
    </w:p>
    <w:p w14:paraId="6A4FC7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представить субъективную сторону преступления.</w:t>
      </w:r>
    </w:p>
    <w:p w14:paraId="119A40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исследования – общественные отношения, связанные с уголовно-правовой регламентацией мошенничества в среде кредитования.</w:t>
      </w:r>
    </w:p>
    <w:p w14:paraId="65981FF7">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Предмет исследования – </w:t>
      </w:r>
      <w:r>
        <w:rPr>
          <w:rFonts w:ascii="Times New Roman" w:hAnsi="Times New Roman" w:cs="Times New Roman"/>
          <w:bCs/>
          <w:sz w:val="28"/>
          <w:szCs w:val="28"/>
        </w:rPr>
        <w:t>нормы</w:t>
      </w:r>
      <w:r>
        <w:rPr>
          <w:rFonts w:ascii="Times New Roman" w:hAnsi="Times New Roman" w:cs="Times New Roman"/>
          <w:sz w:val="28"/>
          <w:szCs w:val="28"/>
        </w:rPr>
        <w:t xml:space="preserve"> законодательства</w:t>
      </w:r>
      <w:r>
        <w:rPr>
          <w:rFonts w:ascii="Times New Roman" w:hAnsi="Times New Roman" w:cs="Times New Roman"/>
          <w:bCs/>
          <w:sz w:val="28"/>
          <w:szCs w:val="28"/>
        </w:rPr>
        <w:t>, регулирующие ответственность при совершении мошенничества в сфере кредитования.</w:t>
      </w:r>
    </w:p>
    <w:p w14:paraId="74DC9B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eq Степень</w:instrText>
      </w:r>
      <w:r>
        <w:rPr>
          <w:rFonts w:ascii="Times New Roman" w:hAnsi="Times New Roman" w:cs="Times New Roman"/>
          <w:sz w:val="28"/>
          <w:szCs w:val="28"/>
        </w:rPr>
        <w:fldChar w:fldCharType="end"/>
      </w:r>
      <w:r>
        <w:rPr>
          <w:rFonts w:ascii="Times New Roman" w:hAnsi="Times New Roman" w:cs="Times New Roman"/>
          <w:sz w:val="28"/>
          <w:szCs w:val="28"/>
        </w:rPr>
        <w:t xml:space="preserve"> разработанности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проблемы</w:instrText>
      </w:r>
      <w:r>
        <w:rPr>
          <w:rFonts w:ascii="Times New Roman" w:hAnsi="Times New Roman" w:cs="Times New Roman"/>
          <w:sz w:val="28"/>
          <w:szCs w:val="28"/>
        </w:rPr>
        <w:fldChar w:fldCharType="end"/>
      </w:r>
      <w:r>
        <w:rPr>
          <w:rFonts w:ascii="Times New Roman" w:hAnsi="Times New Roman" w:cs="Times New Roman"/>
          <w:sz w:val="28"/>
          <w:szCs w:val="28"/>
        </w:rPr>
        <w:t xml:space="preserve">. Изучение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вопросов</w:instrText>
      </w:r>
      <w:r>
        <w:rPr>
          <w:rFonts w:ascii="Times New Roman" w:hAnsi="Times New Roman" w:cs="Times New Roman"/>
          <w:sz w:val="28"/>
          <w:szCs w:val="28"/>
        </w:rPr>
        <w:fldChar w:fldCharType="end"/>
      </w:r>
      <w:r>
        <w:rPr>
          <w:rFonts w:ascii="Times New Roman" w:hAnsi="Times New Roman" w:cs="Times New Roman"/>
          <w:sz w:val="28"/>
          <w:szCs w:val="28"/>
        </w:rPr>
        <w:t xml:space="preserve"> мошенничества в сфере кредитования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были</w:instrText>
      </w:r>
      <w:r>
        <w:rPr>
          <w:rFonts w:ascii="Times New Roman" w:hAnsi="Times New Roman" w:cs="Times New Roman"/>
          <w:sz w:val="28"/>
          <w:szCs w:val="28"/>
        </w:rPr>
        <w:fldChar w:fldCharType="end"/>
      </w:r>
      <w:r>
        <w:rPr>
          <w:rFonts w:ascii="Times New Roman" w:hAnsi="Times New Roman" w:cs="Times New Roman"/>
          <w:sz w:val="28"/>
          <w:szCs w:val="28"/>
        </w:rPr>
        <w:t xml:space="preserve"> изучены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многими</w:instrText>
      </w:r>
      <w:r>
        <w:rPr>
          <w:rFonts w:ascii="Times New Roman" w:hAnsi="Times New Roman" w:cs="Times New Roman"/>
          <w:sz w:val="28"/>
          <w:szCs w:val="28"/>
        </w:rPr>
        <w:fldChar w:fldCharType="end"/>
      </w:r>
      <w:r>
        <w:rPr>
          <w:rFonts w:ascii="Times New Roman" w:hAnsi="Times New Roman" w:cs="Times New Roman"/>
          <w:sz w:val="28"/>
          <w:szCs w:val="28"/>
        </w:rPr>
        <w:t xml:space="preserve"> учеными.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Значительный</w:instrText>
      </w:r>
      <w:r>
        <w:rPr>
          <w:rFonts w:ascii="Times New Roman" w:hAnsi="Times New Roman" w:cs="Times New Roman"/>
          <w:sz w:val="28"/>
          <w:szCs w:val="28"/>
        </w:rPr>
        <w:fldChar w:fldCharType="end"/>
      </w:r>
      <w:r>
        <w:rPr>
          <w:rFonts w:ascii="Times New Roman" w:hAnsi="Times New Roman" w:cs="Times New Roman"/>
          <w:sz w:val="28"/>
          <w:szCs w:val="28"/>
        </w:rPr>
        <w:t xml:space="preserve"> вклад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в</w:instrText>
      </w:r>
      <w:r>
        <w:rPr>
          <w:rFonts w:ascii="Times New Roman" w:hAnsi="Times New Roman" w:cs="Times New Roman"/>
          <w:sz w:val="28"/>
          <w:szCs w:val="28"/>
        </w:rPr>
        <w:fldChar w:fldCharType="end"/>
      </w:r>
      <w:r>
        <w:rPr>
          <w:rFonts w:ascii="Times New Roman" w:hAnsi="Times New Roman" w:cs="Times New Roman"/>
          <w:sz w:val="28"/>
          <w:szCs w:val="28"/>
        </w:rPr>
        <w:t xml:space="preserve"> их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исследование</w:instrText>
      </w:r>
      <w:r>
        <w:rPr>
          <w:rFonts w:ascii="Times New Roman" w:hAnsi="Times New Roman" w:cs="Times New Roman"/>
          <w:sz w:val="28"/>
          <w:szCs w:val="28"/>
        </w:rPr>
        <w:fldChar w:fldCharType="end"/>
      </w:r>
      <w:r>
        <w:rPr>
          <w:rFonts w:ascii="Times New Roman" w:hAnsi="Times New Roman" w:cs="Times New Roman"/>
          <w:sz w:val="28"/>
          <w:szCs w:val="28"/>
        </w:rPr>
        <w:t xml:space="preserve"> внесли: В. Г. Ардашев, А. Н. Борисов, В. С. Петухов, А. А. Седов, В. И. Лебедев и др. </w:t>
      </w:r>
    </w:p>
    <w:p w14:paraId="49C6B910">
      <w:pPr>
        <w:spacing w:after="0" w:line="360" w:lineRule="auto"/>
        <w:ind w:firstLine="709"/>
        <w:jc w:val="both"/>
        <w:rPr>
          <w:rFonts w:ascii="Times New Roman" w:hAnsi="Times New Roman" w:cs="Times New Roman"/>
          <w:color w:val="FF0000"/>
          <w:sz w:val="28"/>
          <w:szCs w:val="28"/>
        </w:rPr>
      </w:pPr>
      <w:r>
        <w:rPr>
          <w:rFonts w:ascii="Times New Roman" w:hAnsi="Times New Roman" w:cs="Times New Roman"/>
          <w:bCs/>
          <w:sz w:val="28"/>
          <w:szCs w:val="28"/>
        </w:rPr>
        <w:t xml:space="preserve">Научная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новизна</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исследования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обусловлена</w:instrText>
      </w:r>
      <w:r>
        <w:rPr>
          <w:rFonts w:ascii="Times New Roman" w:hAnsi="Times New Roman" w:cs="Times New Roman"/>
          <w:sz w:val="28"/>
          <w:szCs w:val="28"/>
        </w:rPr>
        <w:fldChar w:fldCharType="end"/>
      </w:r>
      <w:r>
        <w:rPr>
          <w:rFonts w:ascii="Times New Roman" w:hAnsi="Times New Roman" w:cs="Times New Roman"/>
          <w:sz w:val="28"/>
          <w:szCs w:val="28"/>
        </w:rPr>
        <w:t xml:space="preserve"> тем,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что</w:instrText>
      </w:r>
      <w:r>
        <w:rPr>
          <w:rFonts w:ascii="Times New Roman" w:hAnsi="Times New Roman" w:cs="Times New Roman"/>
          <w:sz w:val="28"/>
          <w:szCs w:val="28"/>
        </w:rPr>
        <w:fldChar w:fldCharType="end"/>
      </w:r>
      <w:r>
        <w:rPr>
          <w:rFonts w:ascii="Times New Roman" w:hAnsi="Times New Roman" w:cs="Times New Roman"/>
          <w:sz w:val="28"/>
          <w:szCs w:val="28"/>
        </w:rPr>
        <w:t xml:space="preserve"> в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данной</w:instrText>
      </w:r>
      <w:r>
        <w:rPr>
          <w:rFonts w:ascii="Times New Roman" w:hAnsi="Times New Roman" w:cs="Times New Roman"/>
          <w:sz w:val="28"/>
          <w:szCs w:val="28"/>
        </w:rPr>
        <w:fldChar w:fldCharType="end"/>
      </w:r>
      <w:r>
        <w:rPr>
          <w:rFonts w:ascii="Times New Roman" w:hAnsi="Times New Roman" w:cs="Times New Roman"/>
          <w:sz w:val="28"/>
          <w:szCs w:val="28"/>
        </w:rPr>
        <w:t xml:space="preserve"> работе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разработаны</w:instrText>
      </w:r>
      <w:r>
        <w:rPr>
          <w:rFonts w:ascii="Times New Roman" w:hAnsi="Times New Roman" w:cs="Times New Roman"/>
          <w:sz w:val="28"/>
          <w:szCs w:val="28"/>
        </w:rPr>
        <w:fldChar w:fldCharType="end"/>
      </w:r>
      <w:r>
        <w:rPr>
          <w:rFonts w:ascii="Times New Roman" w:hAnsi="Times New Roman" w:cs="Times New Roman"/>
          <w:sz w:val="28"/>
          <w:szCs w:val="28"/>
        </w:rPr>
        <w:t xml:space="preserve"> предложения,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повышающие</w:instrText>
      </w:r>
      <w:r>
        <w:rPr>
          <w:rFonts w:ascii="Times New Roman" w:hAnsi="Times New Roman" w:cs="Times New Roman"/>
          <w:sz w:val="28"/>
          <w:szCs w:val="28"/>
        </w:rPr>
        <w:fldChar w:fldCharType="end"/>
      </w:r>
      <w:r>
        <w:rPr>
          <w:rFonts w:ascii="Times New Roman" w:hAnsi="Times New Roman" w:cs="Times New Roman"/>
          <w:sz w:val="28"/>
          <w:szCs w:val="28"/>
        </w:rPr>
        <w:t xml:space="preserve"> эффективность квалификации преступлений мошенничества в сфере кредитования.</w:t>
      </w:r>
    </w:p>
    <w:p w14:paraId="1C29DB9F">
      <w:pPr>
        <w:pStyle w:val="10"/>
        <w:spacing w:after="0" w:line="360" w:lineRule="auto"/>
        <w:ind w:firstLine="709"/>
        <w:rPr>
          <w:bCs/>
        </w:rPr>
      </w:pPr>
      <w:r>
        <w:rPr>
          <w:bCs/>
        </w:rPr>
        <w:fldChar w:fldCharType="begin"/>
      </w:r>
      <w:r>
        <w:rPr>
          <w:bCs/>
        </w:rPr>
        <w:instrText xml:space="preserve">eq Методологическую</w:instrText>
      </w:r>
      <w:r>
        <w:rPr>
          <w:bCs/>
        </w:rPr>
        <w:fldChar w:fldCharType="end"/>
      </w:r>
      <w:r>
        <w:rPr>
          <w:bCs/>
        </w:rPr>
        <w:t xml:space="preserve"> основу </w:t>
      </w:r>
      <w:r>
        <w:rPr>
          <w:bCs/>
        </w:rPr>
        <w:fldChar w:fldCharType="begin"/>
      </w:r>
      <w:r>
        <w:rPr>
          <w:bCs/>
        </w:rPr>
        <w:instrText xml:space="preserve">eq данной</w:instrText>
      </w:r>
      <w:r>
        <w:rPr>
          <w:bCs/>
        </w:rPr>
        <w:fldChar w:fldCharType="end"/>
      </w:r>
      <w:r>
        <w:rPr>
          <w:bCs/>
        </w:rPr>
        <w:t xml:space="preserve"> дипломной </w:t>
      </w:r>
      <w:r>
        <w:rPr>
          <w:bCs/>
        </w:rPr>
        <w:fldChar w:fldCharType="begin"/>
      </w:r>
      <w:r>
        <w:rPr>
          <w:bCs/>
        </w:rPr>
        <w:instrText xml:space="preserve">eq работы</w:instrText>
      </w:r>
      <w:r>
        <w:rPr>
          <w:bCs/>
        </w:rPr>
        <w:fldChar w:fldCharType="end"/>
      </w:r>
      <w:r>
        <w:rPr>
          <w:bCs/>
        </w:rPr>
        <w:t xml:space="preserve"> составляют </w:t>
      </w:r>
      <w:r>
        <w:rPr>
          <w:bCs/>
        </w:rPr>
        <w:fldChar w:fldCharType="begin"/>
      </w:r>
      <w:r>
        <w:rPr>
          <w:bCs/>
        </w:rPr>
        <w:instrText xml:space="preserve">eq различные</w:instrText>
      </w:r>
      <w:r>
        <w:rPr>
          <w:bCs/>
        </w:rPr>
        <w:fldChar w:fldCharType="end"/>
      </w:r>
      <w:r>
        <w:rPr>
          <w:bCs/>
        </w:rPr>
        <w:t xml:space="preserve"> общенаучные </w:t>
      </w:r>
      <w:r>
        <w:rPr>
          <w:bCs/>
        </w:rPr>
        <w:fldChar w:fldCharType="begin"/>
      </w:r>
      <w:r>
        <w:rPr>
          <w:bCs/>
        </w:rPr>
        <w:instrText xml:space="preserve">eq и</w:instrText>
      </w:r>
      <w:r>
        <w:rPr>
          <w:bCs/>
        </w:rPr>
        <w:fldChar w:fldCharType="end"/>
      </w:r>
      <w:r>
        <w:rPr>
          <w:bCs/>
        </w:rPr>
        <w:t xml:space="preserve"> специальные </w:t>
      </w:r>
      <w:r>
        <w:rPr>
          <w:bCs/>
        </w:rPr>
        <w:fldChar w:fldCharType="begin"/>
      </w:r>
      <w:r>
        <w:rPr>
          <w:bCs/>
        </w:rPr>
        <w:instrText xml:space="preserve">eq методы</w:instrText>
      </w:r>
      <w:r>
        <w:rPr>
          <w:bCs/>
        </w:rPr>
        <w:fldChar w:fldCharType="end"/>
      </w:r>
      <w:r>
        <w:rPr>
          <w:bCs/>
        </w:rPr>
        <w:t xml:space="preserve">: диалектический, </w:t>
      </w:r>
      <w:r>
        <w:rPr>
          <w:bCs/>
        </w:rPr>
        <w:fldChar w:fldCharType="begin"/>
      </w:r>
      <w:r>
        <w:rPr>
          <w:bCs/>
        </w:rPr>
        <w:instrText xml:space="preserve">eq дедуктивный</w:instrText>
      </w:r>
      <w:r>
        <w:rPr>
          <w:bCs/>
        </w:rPr>
        <w:fldChar w:fldCharType="end"/>
      </w:r>
      <w:r>
        <w:rPr>
          <w:bCs/>
        </w:rPr>
        <w:t xml:space="preserve">, логический, </w:t>
      </w:r>
      <w:r>
        <w:rPr>
          <w:bCs/>
        </w:rPr>
        <w:fldChar w:fldCharType="begin"/>
      </w:r>
      <w:r>
        <w:rPr>
          <w:bCs/>
        </w:rPr>
        <w:instrText xml:space="preserve">eq анализ</w:instrText>
      </w:r>
      <w:r>
        <w:rPr>
          <w:bCs/>
        </w:rPr>
        <w:fldChar w:fldCharType="end"/>
      </w:r>
      <w:r>
        <w:rPr>
          <w:bCs/>
        </w:rPr>
        <w:t xml:space="preserve">, а </w:t>
      </w:r>
      <w:r>
        <w:rPr>
          <w:bCs/>
        </w:rPr>
        <w:fldChar w:fldCharType="begin"/>
      </w:r>
      <w:r>
        <w:rPr>
          <w:bCs/>
        </w:rPr>
        <w:instrText xml:space="preserve">eq также</w:instrText>
      </w:r>
      <w:r>
        <w:rPr>
          <w:bCs/>
        </w:rPr>
        <w:fldChar w:fldCharType="end"/>
      </w:r>
      <w:r>
        <w:rPr>
          <w:bCs/>
        </w:rPr>
        <w:t xml:space="preserve"> системный </w:t>
      </w:r>
      <w:r>
        <w:rPr>
          <w:bCs/>
        </w:rPr>
        <w:fldChar w:fldCharType="begin"/>
      </w:r>
      <w:r>
        <w:rPr>
          <w:bCs/>
        </w:rPr>
        <w:instrText xml:space="preserve">eq подход</w:instrText>
      </w:r>
      <w:r>
        <w:rPr>
          <w:bCs/>
        </w:rPr>
        <w:fldChar w:fldCharType="end"/>
      </w:r>
      <w:r>
        <w:rPr>
          <w:bCs/>
        </w:rPr>
        <w:t xml:space="preserve">. </w:t>
      </w:r>
    </w:p>
    <w:p w14:paraId="6ABF67B7">
      <w:pPr>
        <w:spacing w:after="0" w:line="360" w:lineRule="auto"/>
        <w:ind w:firstLine="709"/>
        <w:jc w:val="both"/>
        <w:rPr>
          <w:rFonts w:ascii="Times New Roman" w:hAnsi="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eq Нормативно</w:instrText>
      </w:r>
      <w:r>
        <w:rPr>
          <w:rFonts w:ascii="Times New Roman" w:hAnsi="Times New Roman" w:cs="Times New Roman"/>
          <w:sz w:val="28"/>
          <w:szCs w:val="28"/>
        </w:rPr>
        <w:fldChar w:fldCharType="end"/>
      </w:r>
      <w:r>
        <w:rPr>
          <w:rFonts w:ascii="Times New Roman" w:hAnsi="Times New Roman" w:cs="Times New Roman"/>
          <w:sz w:val="28"/>
          <w:szCs w:val="28"/>
        </w:rPr>
        <w:t xml:space="preserve">-правовую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базу</w:instrText>
      </w:r>
      <w:r>
        <w:rPr>
          <w:rFonts w:ascii="Times New Roman" w:hAnsi="Times New Roman" w:cs="Times New Roman"/>
          <w:sz w:val="28"/>
          <w:szCs w:val="28"/>
        </w:rPr>
        <w:fldChar w:fldCharType="end"/>
      </w:r>
      <w:r>
        <w:rPr>
          <w:rFonts w:ascii="Times New Roman" w:hAnsi="Times New Roman" w:cs="Times New Roman"/>
          <w:sz w:val="28"/>
          <w:szCs w:val="28"/>
        </w:rPr>
        <w:t xml:space="preserve"> составили: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Конституция</w:instrText>
      </w:r>
      <w:r>
        <w:rPr>
          <w:rFonts w:ascii="Times New Roman" w:hAnsi="Times New Roman" w:cs="Times New Roman"/>
          <w:sz w:val="28"/>
          <w:szCs w:val="28"/>
        </w:rPr>
        <w:fldChar w:fldCharType="end"/>
      </w:r>
      <w:r>
        <w:rPr>
          <w:rFonts w:ascii="Times New Roman" w:hAnsi="Times New Roman" w:cs="Times New Roman"/>
          <w:sz w:val="28"/>
          <w:szCs w:val="28"/>
        </w:rPr>
        <w:t xml:space="preserve"> РФ, Уголовный кодекс РФ, Гражданский кодекс РФ, Федеральный закон «О потребительском кредите», </w:t>
      </w:r>
      <w:r>
        <w:rPr>
          <w:rFonts w:ascii="Times New Roman" w:hAnsi="Times New Roman"/>
          <w:sz w:val="28"/>
          <w:szCs w:val="28"/>
        </w:rPr>
        <w:t>иные нормативные правовые акты.</w:t>
      </w:r>
    </w:p>
    <w:p w14:paraId="38A27B65">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Теоретическая</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значимость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исследования</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заключается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в</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выявлении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имеющихся</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проблем совершаемых преступлений мошенничества в сфере кредитования, а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также</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выработке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соответствующих</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рекомендаций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по</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совершенствованию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законодательства</w:instrText>
      </w:r>
      <w:r>
        <w:rPr>
          <w:rFonts w:ascii="Times New Roman" w:hAnsi="Times New Roman" w:cs="Times New Roman"/>
          <w:sz w:val="28"/>
          <w:szCs w:val="28"/>
        </w:rPr>
        <w:fldChar w:fldCharType="end"/>
      </w:r>
      <w:r>
        <w:rPr>
          <w:rFonts w:ascii="Times New Roman" w:hAnsi="Times New Roman" w:cs="Times New Roman"/>
          <w:bCs/>
          <w:sz w:val="28"/>
          <w:szCs w:val="28"/>
        </w:rPr>
        <w:t>.</w:t>
      </w:r>
    </w:p>
    <w:p w14:paraId="4C64AB4E">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Практическая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значимость</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исследования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заключается</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в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разработке</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проектов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практических</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рекомендаций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с</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целью </w:t>
      </w:r>
      <w:r>
        <w:rPr>
          <w:rFonts w:ascii="Times New Roman" w:hAnsi="Times New Roman" w:cs="Times New Roman"/>
          <w:bCs/>
          <w:sz w:val="28"/>
          <w:szCs w:val="28"/>
        </w:rPr>
        <w:fldChar w:fldCharType="begin"/>
      </w:r>
      <w:r>
        <w:rPr>
          <w:rFonts w:ascii="Times New Roman" w:hAnsi="Times New Roman" w:cs="Times New Roman"/>
          <w:bCs/>
          <w:sz w:val="28"/>
          <w:szCs w:val="28"/>
        </w:rPr>
        <w:instrText xml:space="preserve">eq совершенствования</w:instrText>
      </w:r>
      <w:r>
        <w:rPr>
          <w:rFonts w:ascii="Times New Roman" w:hAnsi="Times New Roman" w:cs="Times New Roman"/>
          <w:sz w:val="28"/>
          <w:szCs w:val="28"/>
        </w:rPr>
        <w:fldChar w:fldCharType="end"/>
      </w:r>
      <w:r>
        <w:rPr>
          <w:rFonts w:ascii="Times New Roman" w:hAnsi="Times New Roman" w:cs="Times New Roman"/>
          <w:bCs/>
          <w:sz w:val="28"/>
          <w:szCs w:val="28"/>
        </w:rPr>
        <w:t xml:space="preserve"> борьбы с мошенничеством в сфере кредитования.</w:t>
      </w:r>
    </w:p>
    <w:p w14:paraId="5F813FD3">
      <w:pPr>
        <w:spacing w:after="0" w:line="360" w:lineRule="auto"/>
        <w:ind w:firstLine="709"/>
        <w:jc w:val="both"/>
        <w:rPr>
          <w:rFonts w:ascii="Times New Roman" w:hAnsi="Times New Roman" w:cs="Times New Roman"/>
          <w:sz w:val="28"/>
          <w:szCs w:val="28"/>
        </w:rPr>
      </w:pPr>
    </w:p>
    <w:p w14:paraId="76FD33F6">
      <w:pPr>
        <w:pStyle w:val="10"/>
        <w:spacing w:line="360" w:lineRule="auto"/>
        <w:ind w:firstLine="709"/>
        <w:rPr>
          <w:bCs/>
        </w:rPr>
      </w:pPr>
    </w:p>
    <w:p w14:paraId="0CDB1EEF">
      <w:pPr>
        <w:spacing w:after="0" w:line="360" w:lineRule="auto"/>
        <w:ind w:firstLine="709"/>
        <w:jc w:val="both"/>
        <w:rPr>
          <w:rFonts w:ascii="Times New Roman" w:hAnsi="Times New Roman" w:cs="Times New Roman"/>
          <w:sz w:val="28"/>
          <w:szCs w:val="28"/>
        </w:rPr>
      </w:pPr>
    </w:p>
    <w:p w14:paraId="4D3E64D4">
      <w:pPr>
        <w:rPr>
          <w:rFonts w:ascii="Times New Roman" w:hAnsi="Times New Roman" w:cs="Times New Roman" w:eastAsiaTheme="majorEastAsia"/>
          <w:sz w:val="28"/>
          <w:szCs w:val="28"/>
        </w:rPr>
      </w:pPr>
      <w:r>
        <w:rPr>
          <w:rFonts w:ascii="Times New Roman" w:hAnsi="Times New Roman" w:cs="Times New Roman"/>
          <w:sz w:val="28"/>
          <w:szCs w:val="28"/>
        </w:rPr>
        <w:br w:type="page"/>
      </w:r>
    </w:p>
    <w:p w14:paraId="6DAF0715">
      <w:pPr>
        <w:pStyle w:val="2"/>
        <w:spacing w:before="0" w:line="360" w:lineRule="auto"/>
        <w:jc w:val="center"/>
        <w:rPr>
          <w:rFonts w:ascii="Times New Roman" w:hAnsi="Times New Roman" w:cs="Times New Roman"/>
          <w:b/>
          <w:bCs/>
          <w:color w:val="auto"/>
          <w:sz w:val="28"/>
          <w:szCs w:val="28"/>
        </w:rPr>
      </w:pPr>
      <w:bookmarkStart w:id="1" w:name="_Toc189409717"/>
      <w:r>
        <w:rPr>
          <w:rFonts w:ascii="Times New Roman" w:hAnsi="Times New Roman" w:cs="Times New Roman"/>
          <w:b/>
          <w:bCs/>
          <w:color w:val="auto"/>
          <w:sz w:val="28"/>
          <w:szCs w:val="28"/>
        </w:rPr>
        <w:t>1 Объективные признаки преступления, предусмотренного ст. 159.1 УК РФ</w:t>
      </w:r>
      <w:bookmarkEnd w:id="1"/>
    </w:p>
    <w:p w14:paraId="6EAFAA4F">
      <w:pPr>
        <w:spacing w:after="0" w:line="360" w:lineRule="auto"/>
        <w:jc w:val="center"/>
        <w:rPr>
          <w:rFonts w:ascii="Times New Roman" w:hAnsi="Times New Roman" w:cs="Times New Roman"/>
          <w:sz w:val="28"/>
          <w:szCs w:val="28"/>
        </w:rPr>
      </w:pPr>
    </w:p>
    <w:p w14:paraId="6425984D">
      <w:pPr>
        <w:pStyle w:val="3"/>
        <w:spacing w:before="0" w:line="360" w:lineRule="auto"/>
        <w:jc w:val="center"/>
        <w:rPr>
          <w:rFonts w:ascii="Times New Roman" w:hAnsi="Times New Roman" w:cs="Times New Roman"/>
          <w:b/>
          <w:bCs/>
          <w:color w:val="auto"/>
          <w:sz w:val="28"/>
          <w:szCs w:val="28"/>
        </w:rPr>
      </w:pPr>
      <w:bookmarkStart w:id="2" w:name="_Toc189409718"/>
      <w:r>
        <w:rPr>
          <w:rFonts w:ascii="Times New Roman" w:hAnsi="Times New Roman" w:cs="Times New Roman"/>
          <w:b/>
          <w:bCs/>
          <w:color w:val="auto"/>
          <w:sz w:val="28"/>
          <w:szCs w:val="28"/>
        </w:rPr>
        <w:t>1.1 Объект преступления по ст. 159.1 УК РФ</w:t>
      </w:r>
      <w:bookmarkEnd w:id="2"/>
    </w:p>
    <w:p w14:paraId="1150A8B4">
      <w:pPr>
        <w:spacing w:after="0" w:line="360" w:lineRule="auto"/>
        <w:jc w:val="center"/>
        <w:rPr>
          <w:rFonts w:ascii="Times New Roman" w:hAnsi="Times New Roman" w:cs="Times New Roman"/>
          <w:sz w:val="28"/>
          <w:szCs w:val="28"/>
        </w:rPr>
      </w:pPr>
    </w:p>
    <w:p w14:paraId="5E64B5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квалифицированных видов мошенничества стала ст. 159.1 «Мошенничество в сфере кредитования», предусматривающая ответственность за хищение, совершенное обманным способом (а равно злоупотреблением доверием), у специального субъекта. Как известно, нормы, предусматривающие ответственность за хищение призваны обеспечить гарантированное Конституцией право на неприкосновенность собственности. Структурно нормы, предусматривающие ответственность за мошенничество, входят в главу 21 «Преступления в сфере экономики», а это, в свою очередь означает, что общественные отношения в этой сфере являются родовым объектом. К видовому объекту относятся, как уже было ранее указано, отношения собственности и абсолютный характер этого права. Непосредственный объект - владельческий титул, то есть конкретное право, по которому похищенное имущество находилось у потерпевшего</w:t>
      </w:r>
      <w:r>
        <w:rPr>
          <w:rFonts w:ascii="Times New Roman" w:hAnsi="Times New Roman" w:cs="Times New Roman"/>
          <w:iCs/>
          <w:sz w:val="28"/>
          <w:szCs w:val="28"/>
          <w:vertAlign w:val="superscript"/>
        </w:rPr>
        <w:footnoteReference w:id="0"/>
      </w:r>
      <w:r>
        <w:rPr>
          <w:rFonts w:ascii="Times New Roman" w:hAnsi="Times New Roman" w:cs="Times New Roman"/>
          <w:sz w:val="28"/>
          <w:szCs w:val="28"/>
        </w:rPr>
        <w:t>.</w:t>
      </w:r>
    </w:p>
    <w:p w14:paraId="58A6986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мошеннических действий непосредственным объектом преступного посягательства является конкретизированное частнособственническое право, на котором имущество находилось у лица до момента его хищения. Так как норма статьи 159.1 УК РФ предусматривает ответственность за совершение мошенничества в сфере кредитования, то в данном случае им будут выступать финансово-кредитные отношения - формирование, распределение и накопление материальных благ. Родовой и непосредственный объект данного преступления совпадает, это общественные отношения, сложившиеся в сфере кредитования. Способы совершения этого вида мошенничества те же - обман или злоупотребление доверием.</w:t>
      </w:r>
    </w:p>
    <w:p w14:paraId="67C10FF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Основой для применения нормы, кроме ст. 159.1 УК РФ, выступают следующие нормативно-правовые акты: </w:t>
      </w:r>
    </w:p>
    <w:p w14:paraId="0E846F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Гражданский кодекс РФ (часть вторая), принятый Федеральным законом РФ от 26 января 1996 г. № 14-ФЗ; </w:t>
      </w:r>
    </w:p>
    <w:p w14:paraId="4EEA17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РФ от 02 декабря 1990 г. № 395-I «О банках и банковской деятельности»; </w:t>
      </w:r>
    </w:p>
    <w:p w14:paraId="739496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РФ от 21 декабря 2013 г. № 353-ФЗ «О потребительском кредите (займе) (вступает в силу с 01 июля 2014 г.); </w:t>
      </w:r>
    </w:p>
    <w:p w14:paraId="6115F52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Федеральный закон РФ от 30 декабря 2004 г. № 218-ФЗ «О кредитных историях»; </w:t>
      </w:r>
    </w:p>
    <w:p w14:paraId="2607A7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Федеральный закон РФ от 10 июля 2002 г. № 86-ФЗ «О Центральном банке Российской Федерации (Банке России) и др</w:t>
      </w:r>
      <w:r>
        <w:rPr>
          <w:rFonts w:ascii="Times New Roman" w:hAnsi="Times New Roman" w:cs="Times New Roman"/>
          <w:iCs/>
          <w:sz w:val="28"/>
          <w:szCs w:val="28"/>
          <w:vertAlign w:val="superscript"/>
        </w:rPr>
        <w:footnoteReference w:id="1"/>
      </w:r>
      <w:r>
        <w:rPr>
          <w:rFonts w:ascii="Times New Roman" w:hAnsi="Times New Roman" w:cs="Times New Roman"/>
          <w:sz w:val="28"/>
          <w:szCs w:val="28"/>
        </w:rPr>
        <w:t>.</w:t>
      </w:r>
    </w:p>
    <w:p w14:paraId="3B2D091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преступления, согласно российской теории уголовного права, представляет собой общественные отношения, охраняемые уголовным законом, которые подвергаются преступному посягательству. В контексте мошенничества в сфере кредитования объектом выступают, прежде всего, отношения собственности, регулируемые гражданским, финансовым и уголовным законодательством РФ.</w:t>
      </w:r>
    </w:p>
    <w:p w14:paraId="49C2EA2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Мошенничество в сфере кредитования определяется статьей 159.1 УК РФ как преступление, связанное с незаконным получением кредита или субсидий путём обмана или злоупотребления доверием. Следовательно, объектом данного преступления являются имущественные отношения, в рамках которых нарушается право кредитора на возврат заёмных средств и проценты за их использование.</w:t>
      </w:r>
    </w:p>
    <w:p w14:paraId="71679D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уголовно-правовой доктрине выделяются несколько подходов к трактовке объекта преступления:</w:t>
      </w:r>
    </w:p>
    <w:p w14:paraId="2F2530A1">
      <w:pPr>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Монографический подход – акцентируется внимание на общественных отношениях как основном объекте. По мнению ряда учёных, таких как А.В. Наумов и Н.И. Загородников, при мошенничестве в сфере кредитования первостепенное значение имеют имущественные отношения, связанные с возвратом кредита</w:t>
      </w:r>
      <w:r>
        <w:rPr>
          <w:rFonts w:ascii="Times New Roman" w:hAnsi="Times New Roman" w:cs="Times New Roman"/>
          <w:iCs/>
          <w:sz w:val="28"/>
          <w:szCs w:val="28"/>
          <w:vertAlign w:val="superscript"/>
        </w:rPr>
        <w:footnoteReference w:id="2"/>
      </w:r>
      <w:r>
        <w:rPr>
          <w:rFonts w:ascii="Times New Roman" w:hAnsi="Times New Roman" w:cs="Times New Roman"/>
          <w:sz w:val="28"/>
          <w:szCs w:val="28"/>
        </w:rPr>
        <w:t>.</w:t>
      </w:r>
    </w:p>
    <w:p w14:paraId="40C76708">
      <w:pPr>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Комбинированный подход – некоторые исследователи, например, Е.Н. Трубин, считают, что объект преступления включает в себя не только имущественные отношения, но и доверительные отношения между кредитором и заёмщиком, а также финансовую стабильность.</w:t>
      </w:r>
    </w:p>
    <w:p w14:paraId="3CC86FE1">
      <w:pPr>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Практический подход – в судебной практике часто выделяется узкий объект – конкретное правоотношение между кредитором (банком, микрофинансовой организацией) и заёмщиком.</w:t>
      </w:r>
    </w:p>
    <w:p w14:paraId="731C75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Сравнительный анализ указанных подходов показывает, что наиболее обоснованным является комбинированный подход, так как он учитывает специфику правоотношений в сфере кредитования.</w:t>
      </w:r>
    </w:p>
    <w:p w14:paraId="41455D2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Практика рассмотрения дел о мошенничестве в сфере кредитования демонстрирует несколько ключевых аспектов:</w:t>
      </w:r>
    </w:p>
    <w:p w14:paraId="1D132A3D">
      <w:pPr>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Судебные акты подчёркивают, что обман является центральным элементом состава преступления. Например, Верховный Суд РФ в своих обзорах дел указывает, что использование поддельных документов для получения кредита однозначно свидетельствует о преступном умысле.</w:t>
      </w:r>
    </w:p>
    <w:p w14:paraId="034818D1">
      <w:pPr>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некоторых случаях мошенничество ошибочно квалифицируется как нарушение гражданских обязательств. Это особенно актуально, если заёмщик возвращает часть кредита, но не полностью исполняет обязательства.</w:t>
      </w:r>
    </w:p>
    <w:p w14:paraId="1F2D03CC">
      <w:pPr>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Одной из сложностей в правоприменении является доказывание прямого умысла на хищение средств кредитора. В практике часто требуется проведение финансово-экономических экспертиз.</w:t>
      </w:r>
    </w:p>
    <w:p w14:paraId="0A30A98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доктрине нет единого подхода относительно соотношения между хищением имущества и мошенническими действиями. Например, А.Г. Безверхов указывает, что: «мошенничество может быть совершено путем склонения к передаче имущества путем обмана (уступке и иному действию по отчуждению), а равно получение имущественной выгоды обманным путем». П.Л. Сердюк и вовсе отрицает наличие такого признака, как хищение в составе мошенничества: «виновный не похищает имущество, а завладевает имуществом или правом на имущество с ведома потерпевшего, который самостоятельно передает деньги, находясь в состоянии заблуждения».</w:t>
      </w:r>
    </w:p>
    <w:p w14:paraId="07E4E6F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 Щепалов указывает на то, что: «ключевым элементом мошенничества является причинение имущественного ущерба совершением обмана или злоупотреблением доверия, и именно в таком виде должна быть сформулирована соответствующая норма, а само понятие «хищение» необходимо изъять».</w:t>
      </w:r>
    </w:p>
    <w:p w14:paraId="737DE8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Противоположной позиции придерживается О.В. Волохова, которая считает, что: «если убрать хищение из состава мошенничества, то это еще больше запутает правоприменителя». Кроме того, «существует опасность расширительного толкования – в таком случае к ответственности можно привлечь и за простое неисполнение договорного обязательства»</w:t>
      </w:r>
      <w:r>
        <w:rPr>
          <w:rFonts w:ascii="Times New Roman" w:hAnsi="Times New Roman" w:cs="Times New Roman"/>
          <w:iCs/>
          <w:sz w:val="28"/>
          <w:szCs w:val="28"/>
          <w:vertAlign w:val="superscript"/>
        </w:rPr>
        <w:t xml:space="preserve"> </w:t>
      </w:r>
      <w:r>
        <w:rPr>
          <w:rFonts w:ascii="Times New Roman" w:hAnsi="Times New Roman" w:cs="Times New Roman"/>
          <w:iCs/>
          <w:sz w:val="28"/>
          <w:szCs w:val="28"/>
          <w:vertAlign w:val="superscript"/>
        </w:rPr>
        <w:footnoteReference w:id="3"/>
      </w:r>
      <w:r>
        <w:rPr>
          <w:rFonts w:ascii="Times New Roman" w:hAnsi="Times New Roman" w:cs="Times New Roman"/>
          <w:sz w:val="28"/>
          <w:szCs w:val="28"/>
        </w:rPr>
        <w:t>.</w:t>
      </w:r>
    </w:p>
    <w:p w14:paraId="404C5A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Необходимым условием доказывания состава мошенничества является установление умысла на хищение, следственным органам приходится выяснять, а не было ли это простое неисполнение договорных обязательств, возникшее в силу каких-либо значимых обстоятельств. С одной стороны, это ведет к тому, что мошенники, зачастую маскируют свои корыстные намерения договорам, а в случае угрозы уголовной ответственности начинают выплату долга, пытаться доказать, что это была действительная гражданская сделка. Однако, с другой стороны, отсутствие этого признака может привести к тому, что предприниматели будут ходить на волоске от судимости. Вместе с тем, мошенничество является настоящим «бичом современной экономики», и относится к наиболее опасным преступным посягательствам.</w:t>
      </w:r>
    </w:p>
    <w:p w14:paraId="30E7C65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Прежде всего следует начать с анализа внутренней структуры основного и дополнительного непосредственных объектов преступления, предусматривающего ответственность за мошенничество в сфере кредитования. Следует согласиться с Н.И. Коржанским: «Выделение основного и дополнительного непосредственных объектов в совершенном деянии – это одна из важных практических задач квалификации преступлений. Если не проводить такого различия между несколькими непосредственными объектами, то в некоторых случаях невозможно добиться правильной квалификации деяния. Именно этим, в известной мере, объясняются ошибки, встречающиеся на практике…»</w:t>
      </w:r>
      <w:r>
        <w:rPr>
          <w:rFonts w:ascii="Times New Roman" w:hAnsi="Times New Roman" w:cs="Times New Roman"/>
          <w:iCs/>
          <w:sz w:val="28"/>
          <w:szCs w:val="28"/>
          <w:vertAlign w:val="superscript"/>
        </w:rPr>
        <w:footnoteReference w:id="4"/>
      </w:r>
      <w:r>
        <w:rPr>
          <w:rFonts w:ascii="Times New Roman" w:hAnsi="Times New Roman" w:cs="Times New Roman"/>
          <w:sz w:val="28"/>
          <w:szCs w:val="28"/>
        </w:rPr>
        <w:t>.</w:t>
      </w:r>
    </w:p>
    <w:p w14:paraId="1D069A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А.В. Бондарь, О.В. Старкова, И.В. Упорова определяют непосредственный объект в данной сфере как «право собственности конкретных банков и право собственности клиентов этих банков, в числе которых могут быть и физические и юридические лица».</w:t>
      </w:r>
    </w:p>
    <w:p w14:paraId="30E30E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Проведенный П.Л. Сердюком анализ преступлений в сфере банковской деятельности позволил ему сделать вывод о том, что «…нет оснований называть в качестве непосредственного объекта мошенничества в указанной сфере наряду с собственностью банков также и собственность их клиентов. В качестве непосредственного объекта мошенничества в сфере банковского кредитования следует признать отношения собственности банка, право распоряжения собственностью других лиц, отношения оборота его денежных средств, связанных с финансовой прибылью. Дополнительным объектом является нормальная банковская деятельность».</w:t>
      </w:r>
    </w:p>
    <w:p w14:paraId="4F543F7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подчеркнуть, что проведение детального анализа основного и дополнительного непосредственных объектов мошенничества в сфере кредитования следует осуществлять на понимании характерных особенностей и принципов самого банковского кредитования как сущности кредитных отношений в целом.</w:t>
      </w:r>
    </w:p>
    <w:p w14:paraId="3F89E8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Проведенные исследования объекта преступления, предусмотренного ст. 159.1 УК РФ, позволяет прийти к выводу, что в основу определения, как основного, так и дополнительного, непосредственных объектов входит детальный анализ именно вышеперечисленных особенностей и принципов, которые составляют основу общественных отношений в сфере кредитования.</w:t>
      </w:r>
    </w:p>
    <w:p w14:paraId="1EB0692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дополнительного непосредственного объекта тесно связано с определенным в данной сфере законодательством, которое регулирует нормальное функционирование сферы банковского кредитования. Определение такому объекту можно сформулировать как общественные отношения по законному функционированию сферы кредитования. В судебной практике также имеет место вынесение обвинительных приговоров в отношении лиц, деяния которых не содержат состава преступления (в частности не соответствуют объекту преступления, предусмотренного ст.159.1 УК РФ).</w:t>
      </w:r>
    </w:p>
    <w:p w14:paraId="7D3E36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 Витрянский подчеркивает, что деятельность в сфере кредитования подчиняется законодательству в области банковского регулирования, а также в области банковского надзора. Обязательными требованиями закона являются обеспечение возвратности денежных средств, которые размещают банки, а также получение платы за их временное пользование заемщиками. Общепризнанные принципы кредитования (возвратность, платность и срочность) подразумевают предоставление ссуды только таким заемщикам, чья платежеспособность не вызывает у кредитных организаций никакого сомнения</w:t>
      </w:r>
      <w:r>
        <w:rPr>
          <w:rFonts w:ascii="Times New Roman" w:hAnsi="Times New Roman" w:cs="Times New Roman"/>
          <w:iCs/>
          <w:sz w:val="28"/>
          <w:szCs w:val="28"/>
          <w:vertAlign w:val="superscript"/>
        </w:rPr>
        <w:footnoteReference w:id="5"/>
      </w:r>
      <w:r>
        <w:rPr>
          <w:rFonts w:ascii="Times New Roman" w:hAnsi="Times New Roman" w:cs="Times New Roman"/>
          <w:sz w:val="28"/>
          <w:szCs w:val="28"/>
        </w:rPr>
        <w:t>.</w:t>
      </w:r>
    </w:p>
    <w:p w14:paraId="4C2A54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 в статье 159.1 УК РФ не стал вводить вторую форму объективной стороны состава преступления – приобретение права на имущество и ограничился лишь хищением имущества, что естественным образом вызывает дополнительные вопросы. Большое значение имеет противопоставление материальности наличных денег и нематериальности безналичных денежных средств, определение их подлинной правовой природы и определение соотношения их существа с отдельными элементами объективной стороны состава мошенничества.</w:t>
      </w:r>
    </w:p>
    <w:p w14:paraId="0EF1875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внесения изменений в ГК РФ денежные средства на банковских счетах вообще не упоминались в ст. 128 ГК РФ как объект гражданских прав. Однако, со дня вступления в силу Федерального закона от 2 июля 2013 года № 142-ФЗ «О внесении изменений в подраздел 3 подраздела I части первой Гражданского кодекса Российской Федерации» появилась новая редакция статьи, в которой указаны наличные деньги, а также денежные средства на банковских счетах в качестве иного имущества, то есть законодатель формально определил, что денежные средства - это не вещи и не имущественные права. Поскольку в законе не дается определение понятия «иное имущество», выявление правовой природы денежных средств на банковских счетах, как объекта гражданских прав значительно усложнено.</w:t>
      </w:r>
    </w:p>
    <w:p w14:paraId="62E1B4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Соотношение нематериальности денежных средств на банковских счетах и использованных юридико-технических приемов формулирования диспозиций хищений вызывает массу вопросов. Определенное решение предлагает Верховный Суд РФ. В абзаце 2 пункта 5 Постановления Пленума Верховного Суда РФ от 30 ноября 2017 г. N 48 «О судебной практике по делам о мошенничестве, присвоении и растрате» указано, что: «если предметом преступления при мошенничестве являются безналичные денежные средства, в том числе электронные денежные средства, то по смыслу положений пункта 1 примечаний к статье 158 УК РФ и статьи 128 Гражданского кодекса Российской Федерации содеянное должно рассматриваться как хищение чужого имущества». В связи с этим судебная практика исходит из того, что денежные средства на банковских счетах признаются предметом хищения, хотя по сути, речь идет о расширительном толковании, что недопустимо в уголовном праве.</w:t>
      </w:r>
    </w:p>
    <w:p w14:paraId="07E5C0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К.В. Михайлов считает: «преступлением признается не обман определенного качества, а общественно опасное противоправное деяние, совершенное путем обмана, посягающее на общественные отношения, охраняемые уголовным законом». Таким образом, необходимо устанавливать наличие умысла на хищение – доказать, что виновный изначально не собирался возвращать кредитные средства. Об этом может свидетельствовать – образ жизни лица (отсутствие прочных социальных связей, постоянная смена работы, места жительства), размер доходов (или их отсутствие)</w:t>
      </w:r>
      <w:r>
        <w:rPr>
          <w:rFonts w:ascii="Times New Roman" w:hAnsi="Times New Roman" w:cs="Times New Roman"/>
          <w:iCs/>
          <w:sz w:val="28"/>
          <w:szCs w:val="28"/>
          <w:vertAlign w:val="superscript"/>
        </w:rPr>
        <w:t xml:space="preserve"> </w:t>
      </w:r>
      <w:r>
        <w:rPr>
          <w:rFonts w:ascii="Times New Roman" w:hAnsi="Times New Roman" w:cs="Times New Roman"/>
          <w:iCs/>
          <w:sz w:val="28"/>
          <w:szCs w:val="28"/>
          <w:vertAlign w:val="superscript"/>
        </w:rPr>
        <w:footnoteReference w:id="6"/>
      </w:r>
      <w:r>
        <w:rPr>
          <w:rFonts w:ascii="Times New Roman" w:hAnsi="Times New Roman" w:cs="Times New Roman"/>
          <w:sz w:val="28"/>
          <w:szCs w:val="28"/>
        </w:rPr>
        <w:t>.</w:t>
      </w:r>
    </w:p>
    <w:p w14:paraId="141342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Важным признаком объективной стороны является способ хищения. Как правило, кредит выдается на основе предоставленных мошенником заведомо ложных или недостоверных сведений. Вместе с тем, в УК РФ эти два признака даются в качестве различающихся, однако, на практике, заведомо ложные и недостоверные сведения отождествляются. Начнем с того, что совершенно непонятно, зачем законодатель произвел разделение на представление заведомо ложных и заведомо недостоверных сведений, хотя ранее общий состав мошенничества обходился одними лишь заведомо ложными сведениями относительно любого вида мошенничества.</w:t>
      </w:r>
    </w:p>
    <w:p w14:paraId="41E5581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позиции законодателя теперь понятия заведомо ложных и недостоверных сведений должны как-то различаться. Подстраиваясь под сформулированный таким образом состав преступления, представители доктрины пытаются дать каждому из понятий свое оригинальное звучание. </w:t>
      </w:r>
    </w:p>
    <w:p w14:paraId="1671BC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Ложные сведения представляют собой те сведения, которые не соответствуют действительности и виновный сам создает ложность данных сведений, а недостоверные сведения, хоть и ошибочны, но их недостоверность не создается данным лицом. Совершенно не ясно, какое имеет значение данное разделение в таком толковании и на чем оно основано. Ложные сведения – те, что не соответствуют действительности, а вот сообщенные недостоверные сведения – сведения правдивые, которые прямо не являются предметом обмана, но при этом данные сведения характеризуются неполнотой, при которой лицо, внешне выступающее в качестве заемщика, утаивает иную часть совокупности сведений, которые могут повлиять на принятие банком решения о выдаче кредита.</w:t>
      </w:r>
    </w:p>
    <w:p w14:paraId="2454B46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Ложность сведений заключается в их полном несоответствии действительности, а недостоверность – в неполном несоответствии действительности. Однако уголовный закон не содержит каких-либо предпосылок к разделению данных понятий в таком ключе.</w:t>
      </w:r>
    </w:p>
    <w:p w14:paraId="60997AC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Колоколов определяет их как: «действия по предоставлению любой информации, оговоренной регламентом назначения и получения выплат, официально переданной лицом, претендующим на выплаты, уполномоченному на их назначение и производство органу; умолчание о фактах, влекущих прекращение выплат, - бездействие, суть которого в сокрытии информации, сообщение которой влечет немедленное прекращение выплат». То есть фактически, не делает между ними различия.</w:t>
      </w:r>
    </w:p>
    <w:p w14:paraId="7B0725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Минская В.С. не видит различий между недостоверными и ложными сведениями, отождествляя эти понятия. Автор указывает на то, что такие сведения являются обманом: «... в рамках состава данного преступления происходит умышленное искажение информации о фактах объективной реальности для того, чтобы ввести в заблуждение и фальсифицировать волю служащего банка или иной кредитной организации с целью якобы добровольной передачи мошеннику, в данном случае - заемщику денежных средств».</w:t>
      </w:r>
    </w:p>
    <w:p w14:paraId="5C4285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Названную позицию поддерживают Семенчук В.В. и Швец А.В: «По ст. 159.1 УК РФ подлежат уголовной ответственности заемщики, совершившие хищение денежных средств путем представления банку или иному кредитору заведомо ложных и (или) недостоверных сведений». Авторы утверждают, что их следует понимать как: «… сведения о месте работы, уровне заработной платы и иные сведения, на основании которых кредитор принимает решение о выдаче займа».</w:t>
      </w:r>
    </w:p>
    <w:p w14:paraId="7F0405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Нельзя обойти вниманием позицию А. В. Шеслера, считающего, что ложные и недостоверные сведения слова-синонимы: «аналогичные термины содержатся в ч. 3 и ч. 4 ст. 14.25 КоАП РФ, но употребляются они в разных значениях; в п. 2 письма Федеральной налоговой службы РФ от 13 сентября 2005 г. N ЧД-6- 09/761 «О применении дисквалификации в качестве санкции за нарушение законодательства государственной регистрации» отмечается, что ч. 3 ст. 14.25 КоАП РФ применяется при отсутствии умысла в предоставлении недостоверных сведений, а ч. 4 ст. 14.25 КоАП РФ - при однозначной осведомленности физического лица о ложности предоставляемых в регистрирующий орган сведений. Если аналогичным образом понимать недостоверные сведения в уголовно-правовом смысле, получается, что мошенничество может совершаться по неосторожности. Однако указание в законе на заведомость и возможность совершения мошенничества только с прямым умыслом исключает такой вывод. Следовательно, ложные и недостоверные сведения, о которых речь идет в ч. 1 ст. 159.1 УК РФ, - это одно и то же».</w:t>
      </w:r>
    </w:p>
    <w:p w14:paraId="584C28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есть авторы, дифференцирующие эти два вида недостоверных сведений. Александрова И.А. указывает: «ложными надо считать сведения, не соответствующие действительности, о чем заемщик знает и что намеренно использует для введения в заблуждение кредитора относительно важных для него обстоятельств и получения кредита. В отличие от ложных, недостоверными сведениями будут те данные, в ошибочности или неполноте которых заемщик осведомлен, но не предпринимает действий (проявляет пассивность) к их устранению.</w:t>
      </w:r>
      <w:r>
        <w:t xml:space="preserve"> </w:t>
      </w:r>
      <w:r>
        <w:rPr>
          <w:rFonts w:ascii="Times New Roman" w:hAnsi="Times New Roman" w:cs="Times New Roman"/>
          <w:sz w:val="28"/>
          <w:szCs w:val="28"/>
        </w:rPr>
        <w:t>Если ложные сведения мошенник сам изготовляет, то недостоверными сведениями он пользуется (как пользуются чужой ошибкой или сложившимися обстоятельствами), при этом недостоверность сведений не создается умышленно самим заемщиком; использование ложных сведений свидетельствует, о большей злонамеренности мошенника». С лингвистической точки зрения, между заведомо ложными и недостоверными сведениями действительно имеются различия, однако, в правоприменительной практике сложился подход, согласно которому эти понятия рассматриваются в качестве тождественных. Поэтому следует признать, что употребление данных категорий в значении их различий лишь еще больше запутает правоприменителя и приведёт к искажениям в процессе реализации положений ст. 159.1 УК РФ.</w:t>
      </w:r>
    </w:p>
    <w:p w14:paraId="7CC416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следует учитывать, что не могут быть предметом рассматриваемого вида мошенничества денежные средства, выдаваемые своим членам кредитными потребительскими кооперативами, фондами взаимного кредитования, иными микрофинансовыми организациям, так как по своей правовой природе данные отношения являются отношениями займа, а не кредита. Согласно ст. 807 ГК: «по договору займа одна сторона (заимодавец) передает в собственность другой стороне (заемщику) деньги или другие вещи, определенные родовыми признаками, а заемщик обязуется возвратить заимодавцу такую же сумму денег (сумму займа) или равное количество других полученных им вещей того же рода и качества».</w:t>
      </w:r>
    </w:p>
    <w:p w14:paraId="0994BB8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в цивилистике указывают на реальность договора, то есть он считается заключенным с момента передачи предмета, тогда как кредитный договор – консенсуальный по своей природе. Из сопоставления приведенных договоров сразу видно, что кредитный договор и договор банковского вклада характеризуются особым субъектным составом в отличие от договора займа. Кроме того, предмет договора займа шире, чем предмет договора банковского вклада и кредитного договора: по нему помимо денежных средств могут также передаваться вещи, определяемые родовыми признаками.</w:t>
      </w:r>
    </w:p>
    <w:p w14:paraId="29EB26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системе действующих гражданско-правовых и уголовно-правовых норм дополнительный объект статьи 159.1 УК РФ (заёмно-кредитные отношения), несколько шире, нежели это следует из названия самой статьи («Мошенничество в сфере кредитования»). Дело в том, что диспозиция статьи 159.1 УК РФ включает не только банки и кредитные организации, но и «иных кредиторов». «Иные кредиторы» (физические лица) могут выступать стороной в договоре займа (ст. 807 ГК РФ), но не являются участниками кредитного договора, по которому: «банк или иная кредитная организация обязуются предоставить денежные средства заемщику».</w:t>
      </w:r>
    </w:p>
    <w:p w14:paraId="3D420A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Заёмно-кредитные отношения, являющиеся дополнительным объектом уголовно-правовой защиты, охраняются нормой статьи 159.1 УК РФ, что в свою очередь предполагает появление также специального субъекта преступления. Согласно диспозиции статьи 159.1 УК РФ субъектом данного вида мошенничества является заемщик. Этот признак специального субъекта ограничивает область действия указанной статьи. Как представляется, заемщик в буквальном смысле статьи 159.1 УК РФ - это не любое физическое вменяемое лицо, достигшее 16 лет, а субъект договорного права, который: «от своего имени совершает действия по заключению договора займа или кредитного договора, направленные на установление, изменение или прекращение гражданских прав и обязанностей». Таким образом, очевидно, что при составлении текста нормы законодатель допустил небрежность, не включив в диспозицию отношения займа со стороны микрофинансовых организаций или иных субъектов.</w:t>
      </w:r>
    </w:p>
    <w:p w14:paraId="299008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 признаком кредитного договора является возвратность кредитных средств. Он состоит в том, что предмет договора – денежные средства полежат возврату в том порядке и на тех условиях, которые предусмотрены договором кредитования. С целью проверки платежеспособности заемщика банки запрашивают подтверждающие документы.</w:t>
      </w:r>
    </w:p>
    <w:p w14:paraId="15957D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 когда лицо получает кредитные средства обманным путем и не собирается их возвращать нарушается ключевой механизм кредитования. Лицо, предоставляя ложные и (или) недостоверные сведения, вводят кредитную организацию в заблуждение, получает денежные средства и распоряжается ими как своими. Вместе с тем, многие банки в целях повышения привлекательности кредитного продукта для небольших сумм (потребительское кредитование) ограничиваются паспортом.</w:t>
      </w:r>
    </w:p>
    <w:p w14:paraId="230C20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Признаком недостаточно эффективно работающей законодательной базы можно считать неопределенность значительного ущерба по отношению к юридическому лицу. Существующую практику признания таковым размера, предусмотренного для граждан (дано в примечании к статье 158 УК РФ), нельзя признать удачным. Юридические лица ведут предпринимательскую деятельность на свой страх и риск, кроме того, кредитные организации, как специальные субъекты, обладают значительным объемом финансовых ресурсов, и нельзя говорить, что потеря 5 тысяч рублей причинит существенный вред его благосостоянию. Этот тезис поддерживает П.Л. Сердюк, который считает: «...определение в законе понятия «значительный ущерб» нуждается в доработке</w:t>
      </w:r>
      <w:r>
        <w:rPr>
          <w:rFonts w:ascii="Times New Roman" w:hAnsi="Times New Roman" w:cs="Times New Roman"/>
          <w:iCs/>
          <w:sz w:val="28"/>
          <w:szCs w:val="28"/>
          <w:vertAlign w:val="superscript"/>
        </w:rPr>
        <w:footnoteReference w:id="7"/>
      </w:r>
      <w:r>
        <w:rPr>
          <w:rFonts w:ascii="Times New Roman" w:hAnsi="Times New Roman" w:cs="Times New Roman"/>
          <w:sz w:val="28"/>
          <w:szCs w:val="28"/>
        </w:rPr>
        <w:t>.</w:t>
      </w:r>
    </w:p>
    <w:p w14:paraId="2356D57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Утрата 5000 рублей может являться существенным для гражданина, что и учел законодатель. Для банка или другой коммерческой организации, исходя из имущественного положения, указанная сумма не может являться критерием оценки ущерба. Значительный ущерб в статьях настоящей главы не может составлять менее 50 тысяч рублей для организации».</w:t>
      </w:r>
    </w:p>
    <w:p w14:paraId="554751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области потребительского кредитования распространена практика, когда небольшие суммы (до 50-100 тысяч рублей) предоставляются только на основании паспорта. Комплексная оценка платежеспособности не проводится, а сами банки предусматривают определенный процент потерь (невозвратных кредитов), который компенсируется широкой распространённостью и процентной ставкой по таким кредитам. Что характерно, в эту область стали включатся различного рода полукриминальные организации, которые, как правило, оформляются в качестве микрофинансовых, и выдают небольшие по размеру займы под невероятный процент. Еще одной негативной стороной такой практики потребительского кредитования является наличие коллекторских организаций, занимающихся «выбиванием» долгов. Зачастую, стремясь вернуть кредитные средства, коллекторы прибегают к незаконным или даже преступным методам – шантажу, запугиванию, причинение вреда имуществу лица, а иногда и посягательству на жизнь и здоровье.</w:t>
      </w:r>
    </w:p>
    <w:p w14:paraId="2C125C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введения поправок (вступили в силу с 1 июля 2015 года) проценты по займам и кредитам не были ограничены. Это порождало порочную практику попадания людей в долговую кабалу – взяв небольшую сумму (10-50 тысяч рублей), заёмщик вынужден выплачивать проценты, которые достигали астрономических сумм – 10 000% или даже 100 000 годовых. Такие долги накапливались и ещё больше ухудшали положение граждан. С целью снижения остроты этого явления законодательные органы приняли два закона – об ограничении максимальной процентной ставки по займу/кредиту, а также нормы о банкротстве физических лиц. Если провезти ретроспективный анализ, то следует отметить, что подобная практика существовала в императорской России, а кроме того, в Уголовном кодексе была установлена ответственность за ростовщичество. Подобные нормы имеются и во многих зарубежных правопорядках.</w:t>
      </w:r>
    </w:p>
    <w:p w14:paraId="5784FE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Момент окончания рассматриваемого состава не содержит в себе каких-либо особенностей и связан с получением реальной возможности распорядиться похищенным. В Постановлении Пленума Верховного суда РФ отдельно указывается на, то что хищение электронных денег считается оконченным с момента их изъятия с банковского счёта. Предоставление заведомо ложных (недостоверных) сведений в зависимости от конкретных обстоятельств дела необходимо квалифицировать как приготовление или покушение на данный вид мошенничества.</w:t>
      </w:r>
    </w:p>
    <w:p w14:paraId="270D39B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 преступления мошенничества в сфере кредитования является сложной и многогранной категорией. Его анализ требует учёта как теоретических, так и практических аспектов, включая особенности правоприменения. Для повышения эффективности борьбы с мошенничеством необходимо совершенствовать законодательство и судебную практику, уделяя особое внимание специфике имущественных отношений и финансовых обязательств.</w:t>
      </w:r>
    </w:p>
    <w:p w14:paraId="24353886">
      <w:pPr>
        <w:spacing w:after="0" w:line="360" w:lineRule="auto"/>
        <w:ind w:firstLine="709"/>
        <w:jc w:val="both"/>
        <w:rPr>
          <w:rFonts w:ascii="Times New Roman" w:hAnsi="Times New Roman" w:cs="Times New Roman"/>
          <w:sz w:val="28"/>
          <w:szCs w:val="28"/>
        </w:rPr>
      </w:pPr>
    </w:p>
    <w:p w14:paraId="16393160">
      <w:pPr>
        <w:pStyle w:val="3"/>
        <w:spacing w:before="0" w:line="360" w:lineRule="auto"/>
        <w:jc w:val="center"/>
        <w:rPr>
          <w:rFonts w:ascii="Times New Roman" w:hAnsi="Times New Roman" w:cs="Times New Roman"/>
          <w:b/>
          <w:bCs/>
          <w:color w:val="auto"/>
          <w:sz w:val="28"/>
          <w:szCs w:val="28"/>
        </w:rPr>
      </w:pPr>
      <w:bookmarkStart w:id="3" w:name="_Toc189409719"/>
      <w:r>
        <w:rPr>
          <w:rFonts w:ascii="Times New Roman" w:hAnsi="Times New Roman" w:cs="Times New Roman"/>
          <w:b/>
          <w:bCs/>
          <w:color w:val="auto"/>
          <w:sz w:val="28"/>
          <w:szCs w:val="28"/>
        </w:rPr>
        <w:t>1.2 Объективная сторона состава преступления</w:t>
      </w:r>
      <w:bookmarkEnd w:id="3"/>
    </w:p>
    <w:p w14:paraId="03BA5B89">
      <w:pPr>
        <w:spacing w:after="0" w:line="360" w:lineRule="auto"/>
        <w:ind w:firstLine="709"/>
        <w:jc w:val="both"/>
        <w:rPr>
          <w:rFonts w:ascii="Times New Roman" w:hAnsi="Times New Roman" w:cs="Times New Roman"/>
          <w:sz w:val="28"/>
          <w:szCs w:val="28"/>
        </w:rPr>
      </w:pPr>
    </w:p>
    <w:p w14:paraId="4C96429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Объективная сторона преступления – совокупность тех законодательно определенных признаков, которые «характеризуют общественно опасное деяние как преступление только с внешней стороны, то есть внешнее проявление преступления, выражающееся в поведении виновного лица, а именно в причинении вреда или в угрозе причинения вреда охраняемым уголовным законом объектам в определенных условиях, в определенном месте и в определенное время».</w:t>
      </w:r>
    </w:p>
    <w:p w14:paraId="50571C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Объективная сторона всегда выражается в двух формах поведения лица: общественно-опасное действие и общественно-опасное бездействие. Под преступным действием понимается «общественно опасный, противоправный акт активного внешнего поведения субъекта, осуществляемый под контролем сознания и воли и направленный на причинение вреда охраняемым уголовным законом отношениям». Каждое преступное действие включает в себя признаки: физический, социальный, юридический.</w:t>
      </w:r>
    </w:p>
    <w:p w14:paraId="13BC90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Преступное бездействие заключается в «неисполнении или ненадлежащем исполнении лежащей на лице юридической обязанности либо в невоспрепятствовании наступлению последствий, которые лицо обязано было и могло предотвратить». В нем также присутствуют такие признаки, как социальный и юридический, но уже отсутствует физический.</w:t>
      </w:r>
    </w:p>
    <w:p w14:paraId="6A927C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Общественно опасные последствия = это, как правило, итог противоправного деяния, то есть происходит отрицательное изменение реальной, окружающей нас действительности. Под общественно опасными последствиями понимают «противоправное изменение общественных отношения, заключающееся в полном или частичном, временном или постоянном затруднении или ликвидации возможности осуществления субъектом отношений своих интересов».</w:t>
      </w:r>
    </w:p>
    <w:p w14:paraId="13C44C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Установление причинной связи между общественно опасным действием (бездействием) и общественно опасным последствием, есть важное условие привлечения лица к ответственности. Причинной связью выступает «отношение между явлениями, при котором одно или несколько взаимодействующих явлений – причина порождает другое явление – следствие». </w:t>
      </w:r>
    </w:p>
    <w:p w14:paraId="5FB2196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в объективной стороне преступления выделяют факультативные признаки, такие как время совершения преступления, место совершения преступления, способ совершения преступления, обстановка совершения преступления, орудие и средство совершения преступления.</w:t>
      </w:r>
    </w:p>
    <w:p w14:paraId="29BF4A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объективной стороне есть обязательным и факультативные признаки, следовательно набор этих признаков различен и в каждом случае будет зависеть от конструкции состава преступления. </w:t>
      </w:r>
    </w:p>
    <w:p w14:paraId="260064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диспозиции ч. 1 ст. 159.1 УК РФ, объективная сторона выражается в хищении денежных средств, совершенным путем обмана относительно предоставляемых кредитору сведений о заемщике. Эти сведения должны быть заведомо ложными или недостоверными.</w:t>
      </w:r>
    </w:p>
    <w:p w14:paraId="001423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ст. 159.1 УК РФ является «материальным, а обязательными признаками будут: деяние, выражающееся в хищении, общественно опасные последствия и причинно-следственная связь между ними».</w:t>
      </w:r>
    </w:p>
    <w:p w14:paraId="0C5748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Ввиду того, что мошенничество в сфере кредитования является хищением, то оно должно соответствовать его признакам, закрепленным вышеназванным примечанием, а именно:</w:t>
      </w:r>
    </w:p>
    <w:p w14:paraId="748BA679">
      <w:pPr>
        <w:pStyle w:val="18"/>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Противоправность деяния. Заемщик, предоставляя кредитору ложные сведения или информацию, вводит его в заблуждение, тем самым нарушает уголовный закон.</w:t>
      </w:r>
    </w:p>
    <w:p w14:paraId="56E50067">
      <w:pPr>
        <w:pStyle w:val="18"/>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Безвозмездный характер деяния. Похитив денежные средства кредитора, заемщик в последующем не планирует их возвращать, так как чаще всего это связано с отсутствием у него платежеспособности.</w:t>
      </w:r>
    </w:p>
    <w:p w14:paraId="38F7B74F">
      <w:pPr>
        <w:pStyle w:val="18"/>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Причинение ущерба кредитору. Он выражается в том, что кредитор понес реальный ущерб от преступных действий заемщика, потеряв определенную денежную сумму. Теоретически можно предположить, что от таких действий ущерб могут нести и третьи лица.</w:t>
      </w:r>
    </w:p>
    <w:p w14:paraId="1A3D9E02">
      <w:pPr>
        <w:pStyle w:val="18"/>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Изъятие имущества и обращение в пользу виновного. Этот признак означает выделение имущества из владения кредитора. Он состоит из двух действий, изъятия и обращения.</w:t>
      </w:r>
    </w:p>
    <w:p w14:paraId="7F5EF333">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стадии изъятия существуют две стороны – физическая и юридическая. При физическом изъятии чужое имущество перемещается в пространстве, например, при выдаче кредита заемщику наличными денежными средствами в кассе банковской организации, а при юридическом изъятии осуществляется переход права собственности на имущество, например, при поступлении денежных средств на кредитный счет заемщика.</w:t>
      </w:r>
    </w:p>
    <w:p w14:paraId="1C059C75">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Стадия изъятия очень важна, так как в некоторых случаях, она может не предшествовать обращению чужого имущества, потому что «имущество уже находилось в фактическом владении виновного», а при совершении мошенничества, такого не может быть.</w:t>
      </w:r>
    </w:p>
    <w:p w14:paraId="2D63F89C">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 обращением же, понимается то, что – «обращение чужого имущества в пользу виновного или других лиц обычно следует за его изъятием и означает незаконное владение, пользование и распоряжение имуществом, характерном для правомочий собственника – это означает, что только после стадии изъятия, заемщик получает в своей владение денежные средства кредитора. </w:t>
      </w:r>
    </w:p>
    <w:p w14:paraId="23BD09E1">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Среди авторов нет единого понимания «изъятия» и «обращения» в хищении. Например, «изъятие предполагает исключение имущества из владения собственника или законного владельца, устранение последнего», в то время как «обращение с учетом того что это обращение имущества в свою пользу или пользу других лиц, понимается как замена собственника или законного владельца на незаконного пользователя». Г.Н. Борзенков считал, что данные понятия «означают не два самостоятельных действия, а две стороны одного процесса, имя которому – хищение. Они могут сливаться во времени и иметь разную продолжительность: от одномоментного захвата имущества до продолжаемого хищения, складывающегося из нескольких эпизодов»</w:t>
      </w:r>
      <w:r>
        <w:rPr>
          <w:rFonts w:ascii="Times New Roman" w:hAnsi="Times New Roman" w:cs="Times New Roman"/>
          <w:iCs/>
          <w:sz w:val="28"/>
          <w:szCs w:val="28"/>
          <w:vertAlign w:val="superscript"/>
        </w:rPr>
        <w:t xml:space="preserve"> </w:t>
      </w:r>
      <w:r>
        <w:rPr>
          <w:rFonts w:ascii="Times New Roman" w:hAnsi="Times New Roman" w:cs="Times New Roman"/>
          <w:iCs/>
          <w:sz w:val="28"/>
          <w:szCs w:val="28"/>
          <w:vertAlign w:val="superscript"/>
        </w:rPr>
        <w:footnoteReference w:id="8"/>
      </w:r>
      <w:r>
        <w:rPr>
          <w:rFonts w:ascii="Times New Roman" w:hAnsi="Times New Roman" w:cs="Times New Roman"/>
          <w:sz w:val="28"/>
          <w:szCs w:val="28"/>
        </w:rPr>
        <w:t>.</w:t>
      </w:r>
    </w:p>
    <w:p w14:paraId="78B94975">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Однако есть и противоположные точки зрения, заключающиеся в том, что совершение хищения возможно только путем обращения.</w:t>
      </w:r>
    </w:p>
    <w:p w14:paraId="4BABB088">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Поэтому можно выделить следующие признаки изъятия имущества в мошенничестве:</w:t>
      </w:r>
    </w:p>
    <w:p w14:paraId="15D7378B">
      <w:pPr>
        <w:pStyle w:val="18"/>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Происходит на основании гражданско-правовой сделки;</w:t>
      </w:r>
    </w:p>
    <w:p w14:paraId="22D49F01">
      <w:pPr>
        <w:pStyle w:val="18"/>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Воля на заключение сделки фальсифицирована обманом;</w:t>
      </w:r>
    </w:p>
    <w:p w14:paraId="48DD0EB7">
      <w:pPr>
        <w:pStyle w:val="18"/>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Обман является способом хищения, а не способом облегчения хищения;</w:t>
      </w:r>
    </w:p>
    <w:p w14:paraId="572FFC67">
      <w:pPr>
        <w:pStyle w:val="18"/>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Право собственности прекращается, собственник не может истребовать имущество из незаконного пользования лица, его изъявшего, вне зависимости оттого установлено место нахождения лица или нет, т.к. потерпевший не осознает истинные намерения лица, изъявшего имущество.</w:t>
      </w:r>
    </w:p>
    <w:p w14:paraId="36F3A123">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Мошенничество, такой вид преступления, который довольно часто протекает под видом гражданско-правовых отношений, сделок. Заемщик, заключая договор с кредитором, похищает денежные средства с помощью недействительного кредитного договора. Договор выступает орудием совершения преступления и отражает истинную цель преступника, похитить денежные средства. </w:t>
      </w:r>
    </w:p>
    <w:p w14:paraId="1C45F521">
      <w:pPr>
        <w:pStyle w:val="1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Стоит также отметить, что не все авторы одинаково сопоставляют хищение с мошенничеством. Так, например, А.Г. Безверхов предложил определять термин «мошенничество» через следующие понятия:</w:t>
      </w:r>
    </w:p>
    <w:p w14:paraId="3A53FB68">
      <w:pPr>
        <w:pStyle w:val="18"/>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«Склонение путем обмана к передаче имущества, а также уступке имущественного права и совершению иного действия имущественного характера с причинением значительного ущерба;</w:t>
      </w:r>
    </w:p>
    <w:p w14:paraId="297A7243">
      <w:pPr>
        <w:pStyle w:val="18"/>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Получение имущественной выгоды путем обмана с причинением значительного ущерба.</w:t>
      </w:r>
    </w:p>
    <w:p w14:paraId="14F797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 Сердюк также считал, что «мошенничество не должно относиться к хищениям, поскольку виновный не похищает имущество, а завладевает имуществом или правом на имущество с ведома потерпевшего. Потерпевший при этом сам передает деньги, находясь в состоянии заблуждения от примененного виновным обмана».</w:t>
      </w:r>
    </w:p>
    <w:p w14:paraId="3A95A31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практике, суды используют термин «хищение», когда выносят приговор по делам о мошенничестве, например, «гражданка Варенцова, имея умысел на хищение денежных средств путем обмана, предоставила кредитору – «Банк ВТБ 24» заведомо ложные и недостоверные сведения о своем месте трудоустройства и дохода, тем самым осуществила хищение денежных средств на общую сумму 1098424 рублей и причинила «Банк ВТБ 24» материальный ущерб.</w:t>
      </w:r>
    </w:p>
    <w:p w14:paraId="74A22F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необходимо рассмотреть следующий признак объективной стороны для рассматриваемого состава преступления – общественно-опасные последствия. Объективная сторона мошенничества в сфере кредитования выражается в наступлении вредных последствий для кредитора, а именно причинение материального ущерба имущественного характера. Следует отметить, что есть точки зрения, согласно которым размер ущерба складывается из полученных денежных средств по договору кредитования, а также начисленных процентов по нему. Отражение данной позиции можно найти и в судебной практике, например, в одном из приговоров суд посчитал причиненный ущерб из «размера предоставленного кредита, а также начисленных по нему процентов».</w:t>
      </w:r>
    </w:p>
    <w:p w14:paraId="4C5CDFD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Подобное исчисление ущерба является неправильным, так как при хищении средств кредитора имеет место только «реальный имущественный ущерб». Заемщик осуществляет преступное посягательство только на сумму выдаваемых кредитных средств, проценты же в данную сумму не входят, следовательно, они не должны включаться в сумму ущерба. Поэтому ущерб равен только той сумме денежных средств, которая является основным долгом по кредиту. </w:t>
      </w:r>
    </w:p>
    <w:p w14:paraId="1907C6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Законодатель в ст. 159.1 УК РФ причиненные вредные последствия для кредитора измеряет в крупном и особо крупном размерах, а конкретные денежные суммы указывает в примечании к статье, а именно более одного миллиона пяти ста тысяч рублей и шесть миллионов рублей соответственно. Они являются квалифицирующими признаками состава мошенничества в сфере кредитования. </w:t>
      </w:r>
    </w:p>
    <w:p w14:paraId="763B60C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Теперь необходимо рассмотреть способ совершения мошенничества в сфере кредитования. Обман – это один из основных способов совершения хищения в мошенничестве. Под способом понимается совершение системы действий заемщика на приготовление, совершение и сокрытие хищения денежных средств кредитора путем обмана. Под обманом понимается «ложное представление о чем-нибудь, заблуждение». В Постановлении Пленума Верховного Суда РФ от 30.11.2017 № 48 «О судебной практике по делам о мошенничестве, присвоении и растрате» под ним понимает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направленных на введение владельца имущества или иного лица в заблуждение». Обман может совершаться активными и пассивными действиями.</w:t>
      </w:r>
    </w:p>
    <w:p w14:paraId="17430C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Активный обман можно разделить на две категории. Первый – это обман, который совершается словесными действиями. Под словесной формой понимается то, что заемщик сознательно сообщает о «заведомо ложных, не соответствующих действительности, сведений, которые относятся к юридическим фактам и событиям, в частности, обстоятельствам, наличие которых являются условием для получения» кредитных денежных средств. Данная позиция является спорной и некоторые правоведы считают, что при таком виде обмана, деяние следует квалифицировать по ст. 159 УК РФ, однако в судебной практике квалификация происходит по специальной норме. </w:t>
      </w:r>
    </w:p>
    <w:p w14:paraId="29120AB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например, из приговора следует, что «С., получив по почте кредитную карту от Банка, позвонил по указанным телефонам и сообщил ложные сведения о своем заработке, отсутствии задолженностей перед другими банками и истинном финансовом состоянии, получил, таким образом, ПИН-код и активировал банковскую карту. Далее снял деньги в банкомате и истратил их по своему усмотрению, без намерения их возвращать банку». Из содержания данного приговора видно, что преступник смог заполучить денежные средства кредитора, путем совершения словесного обмана.</w:t>
      </w:r>
    </w:p>
    <w:p w14:paraId="199CA9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Вторая категория представляет собой обман, совершаемый умышленными действиями заемщика.</w:t>
      </w:r>
    </w:p>
    <w:p w14:paraId="3B6898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Смысл умышленных действий заключается в создании системы действий преступника, начиная с подготовки заведомо ложных документов, сведений, а именно поддельных документов, удостоверяющих личность, недостоверной информации о доходах заемщика, его хозяйственно-финансовой деятельности, информации об имуществе, находящегося в собственности и другие. Затем предоставление этих документов кредитору таким образом, что у него не было бы ни малейшего сомнения в их действительности. В результате этих действий, кредитор приходит в полное заблуждение о личности заемщика и заключает кредитный договор.</w:t>
      </w:r>
    </w:p>
    <w:p w14:paraId="2ADC2D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анализа судебной практики по ст. 159.1 УК РФ наиболее типовыми способами при подготовке преступления выступают изготовление подложных документов или приобретение, с последующим предоставлением в банковскую организацию. Например, «К. и неустановленное лицо вступили в сговор, направленный на хищение денежных средств кредитной организации путем предоставления поддельных документов для оформления кредита. Для осуществления данной цели неустановленное лицо внесло изменения в паспорт, выданный гражданке К. в местах регистрации и фамилии, изготовил поддельные справки о доходах по форме 2-НДФЛ с указанием места работы и дохода, несоответствующих действительности, а также копию трудовой книжки.</w:t>
      </w:r>
    </w:p>
    <w:p w14:paraId="469C8B1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Активный обман содержит в себе следующие признаки. Под физическим признаком понимают совершение обмана путем словесных действий и умышленных действий, то есть предоставление поддельных документов либо сообщение ложной информации.</w:t>
      </w:r>
    </w:p>
    <w:p w14:paraId="0E0021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Социальный признак заключается в том, что заемщик своими словами и действиями порождает реальную угрозу для общественных отношений, а именно причиняет вред материальный для кредитора.</w:t>
      </w:r>
    </w:p>
    <w:p w14:paraId="40002F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Юридический признак также присутствует, так как в ст. 159.1 УК РФ предусмотрена ответственность за такие действия.</w:t>
      </w:r>
    </w:p>
    <w:p w14:paraId="187391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Пассивный обман заключается в том, что заемщик обязан был сообщить о каких-то истинных, подлинных фактах, но не сделал этого, тем самым завел в заблуждение кредитора. Например, заемщик не предоставил кредитору новую зарплатную ведомость кредитору, получив которую он бы поставил под сомнение целесообразность выдачи кредита лицу.</w:t>
      </w:r>
    </w:p>
    <w:p w14:paraId="3FBBFF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Раскрывая признаки пассивного обмана, можно сказать, что социальный и юридический признак, как в действии, так и в бездействии будут одинаковыми. Различия только в поведении преступника. Физический признак в данном случае отсутствует.</w:t>
      </w:r>
    </w:p>
    <w:p w14:paraId="67E915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эти совершаемые деяния имеют только одну цель, обмануть кредитора, убедить его в чистоте и добропорядочности заемщика и получить денежные средства.</w:t>
      </w:r>
    </w:p>
    <w:p w14:paraId="431AE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Поэтому можно выделить наиболее распространенные способы совершения мошенничества при кредитовании физических лиц:</w:t>
      </w:r>
    </w:p>
    <w:p w14:paraId="4D13CE70">
      <w:pPr>
        <w:pStyle w:val="18"/>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Осуществление деяния путем представления недостоверной информации о заемщике;</w:t>
      </w:r>
    </w:p>
    <w:p w14:paraId="58985E27">
      <w:pPr>
        <w:pStyle w:val="18"/>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поддельных документов, удостоверяющих личность заемщика либо содержащих в себе иную информацию, связанную с ним;</w:t>
      </w:r>
    </w:p>
    <w:p w14:paraId="41D6925F">
      <w:pPr>
        <w:pStyle w:val="18"/>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Осуществление преступления, вступая в сговор с сотрудником банка, знающего о поддельности документов или ложности сообщенных сведений;</w:t>
      </w:r>
    </w:p>
    <w:p w14:paraId="41C3DEEC">
      <w:pPr>
        <w:pStyle w:val="18"/>
        <w:numPr>
          <w:ilvl w:val="0"/>
          <w:numId w:val="6"/>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Совершение деяния с привлечением третьего лица, например, когда оно берет на себя кредитные обязательства, а денежные средства передает преступнику.</w:t>
      </w:r>
    </w:p>
    <w:p w14:paraId="362C65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причинно-следственную связь между деянием и последствием. К.В. Михайлов отмечал, что «причинная связь при мошенничестве обладает той особенностью, что в качестве ее необходимого элемента выступают сами действия потерпевшего, который в силу своего заблуждения относительно добропорядочности виновного, участвует в переходе имущества</w:t>
      </w:r>
      <w:r>
        <w:rPr>
          <w:rFonts w:ascii="Times New Roman" w:hAnsi="Times New Roman" w:cs="Times New Roman"/>
          <w:iCs/>
          <w:sz w:val="28"/>
          <w:szCs w:val="28"/>
          <w:vertAlign w:val="superscript"/>
        </w:rPr>
        <w:footnoteReference w:id="9"/>
      </w:r>
      <w:r>
        <w:rPr>
          <w:rFonts w:ascii="Times New Roman" w:hAnsi="Times New Roman" w:cs="Times New Roman"/>
          <w:sz w:val="28"/>
          <w:szCs w:val="28"/>
        </w:rPr>
        <w:t>. Причиной такой добровольной передачи имущества преступнику является заблуждение потерпевшего, а причиной этого заблуждения – обман потерпевшего виновным». Анализ диспозиции ст. 159.1 УК РФ дает основание полагать, что связь будет прямой между противоправным деянием заемщика и наступившими, в результате этого деяния, материальными последствиями для кредитора.</w:t>
      </w:r>
    </w:p>
    <w:p w14:paraId="36D702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следует сказать, что невозможна причинная связь между деянием и вредными последствиями, если заемщик предоставил только документы, подтверждающие его личность, и получил денежные средства без документов, содержащих сведения о его платежеспособности. Это связано с тем, что в «обязанности кредитора входит проверка всех предоставленных документов, в том числе и подтверждающих платежеспособность заемщика». Без такой проверки невозможно составить и заключить договор кредитования. </w:t>
      </w:r>
    </w:p>
    <w:p w14:paraId="4077B68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рассмотреть вопрос об окончании мошенничества в сфере кредитования. Согласно п. 5 Постановления Пленума Верховного Суда РФ от 30.11.2017 № 48 «О судебной практике по делам о мошенничестве, присвоении и растрате» хищение признается оконченным с момента, когда денежные средства кредитора поступило в незаконное владение заемщика или других лиц и они получили реальную возможность пользоваться или распорядиться им по своему усмотрению.</w:t>
      </w:r>
    </w:p>
    <w:p w14:paraId="4FBBFE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Помимо наличных денежных средств, предметом исследуемого преступления являются безналичные денежные средства, поэтому возникает вопрос в моменте окончания мошенничества с таким предметом. В теории существует мнение, что «поступление денежных средств на расчетный счет уже свидетельствует о наличии возможности у лица распорядится ими, но если представить ситуацию, что по прошествии определенного времени, при выяснении факта мошенничества, счет будет заблокирован кредитором». Если счет будет заблокирован кредитором, то можно ли говорить о том, что мошенничество было окончено. Стоит отметить, что позиция Верховного Суда РФ «признавать оконченным мошенничество в сфере кредитования с момента изъятия денежных средств с банковского счета их владельца или электронных денежных средств», является наиболее правильной, так как с момента перевода денежных средств на счет заемщика, кредитор утрачивает возможность использовать их в своем обороте, тем самым ему причиняется имущественный ущерб.</w:t>
      </w:r>
    </w:p>
    <w:p w14:paraId="79E51904">
      <w:pPr>
        <w:spacing w:after="0" w:line="360" w:lineRule="auto"/>
        <w:ind w:firstLine="709"/>
        <w:jc w:val="both"/>
        <w:rPr>
          <w:rFonts w:ascii="Times New Roman" w:hAnsi="Times New Roman" w:cs="Times New Roman" w:eastAsiaTheme="majorEastAsia"/>
          <w:sz w:val="28"/>
          <w:szCs w:val="28"/>
        </w:rPr>
      </w:pPr>
      <w:r>
        <w:rPr>
          <w:rFonts w:ascii="Times New Roman" w:hAnsi="Times New Roman" w:cs="Times New Roman"/>
          <w:sz w:val="28"/>
          <w:szCs w:val="28"/>
        </w:rPr>
        <w:t>Помимо этого, признавать моментом окончания факт поступления на счет заемщика кредитных средств было бы не совсем верным, поскольку денежные средства могут находиться на счете продолжительное время, а преступник не будет иметь возможности снять их или перевести на другой счет, тем самым распорядиться ими, следовательно, весь этот период времени, преступление будет считаться неоконченным.</w:t>
      </w:r>
    </w:p>
    <w:p w14:paraId="500DC39A">
      <w:pPr>
        <w:pStyle w:val="2"/>
        <w:spacing w:before="0" w:line="360" w:lineRule="auto"/>
        <w:jc w:val="center"/>
        <w:rPr>
          <w:rFonts w:ascii="Times New Roman" w:hAnsi="Times New Roman" w:cs="Times New Roman"/>
          <w:b/>
          <w:bCs/>
          <w:color w:val="auto"/>
          <w:sz w:val="28"/>
          <w:szCs w:val="28"/>
        </w:rPr>
      </w:pPr>
      <w:bookmarkStart w:id="4" w:name="_Toc189409720"/>
      <w:r>
        <w:rPr>
          <w:rFonts w:ascii="Times New Roman" w:hAnsi="Times New Roman" w:cs="Times New Roman"/>
          <w:b/>
          <w:bCs/>
          <w:color w:val="auto"/>
          <w:sz w:val="28"/>
          <w:szCs w:val="28"/>
        </w:rPr>
        <w:t>2 Субъективные признаки состава преступления, предусмотренного ст. 159.1 УК РФ</w:t>
      </w:r>
      <w:bookmarkEnd w:id="4"/>
    </w:p>
    <w:p w14:paraId="3B15CB74">
      <w:pPr>
        <w:spacing w:after="0" w:line="360" w:lineRule="auto"/>
        <w:jc w:val="center"/>
        <w:rPr>
          <w:rFonts w:ascii="Times New Roman" w:hAnsi="Times New Roman" w:cs="Times New Roman"/>
          <w:sz w:val="28"/>
          <w:szCs w:val="28"/>
        </w:rPr>
      </w:pPr>
    </w:p>
    <w:p w14:paraId="4E2AF92E">
      <w:pPr>
        <w:pStyle w:val="3"/>
        <w:spacing w:before="0" w:line="360" w:lineRule="auto"/>
        <w:jc w:val="center"/>
        <w:rPr>
          <w:rFonts w:ascii="Times New Roman" w:hAnsi="Times New Roman" w:cs="Times New Roman"/>
          <w:b/>
          <w:bCs/>
          <w:color w:val="auto"/>
          <w:sz w:val="28"/>
          <w:szCs w:val="28"/>
        </w:rPr>
      </w:pPr>
      <w:bookmarkStart w:id="5" w:name="_Toc189409721"/>
      <w:r>
        <w:rPr>
          <w:rFonts w:ascii="Times New Roman" w:hAnsi="Times New Roman" w:cs="Times New Roman"/>
          <w:b/>
          <w:bCs/>
          <w:color w:val="auto"/>
          <w:sz w:val="28"/>
          <w:szCs w:val="28"/>
        </w:rPr>
        <w:t>2.1 Субъект и субъективные признаки преступления по ст. 159.1 УК РФ</w:t>
      </w:r>
      <w:bookmarkEnd w:id="5"/>
    </w:p>
    <w:p w14:paraId="61A643F5">
      <w:pPr>
        <w:spacing w:after="0" w:line="360" w:lineRule="auto"/>
        <w:jc w:val="center"/>
        <w:rPr>
          <w:rFonts w:ascii="Times New Roman" w:hAnsi="Times New Roman" w:cs="Times New Roman"/>
          <w:sz w:val="28"/>
          <w:szCs w:val="28"/>
        </w:rPr>
      </w:pPr>
    </w:p>
    <w:p w14:paraId="5EB74C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субъекта указанного преступления может выступать вменяемое физическое лицо, достигшее шестнадцати лет. Помимо этого указанное лицо должно являться «заемщиком». Таким образом, составом рассматриваемого преступления предусмотрен специальный субъект.</w:t>
      </w:r>
    </w:p>
    <w:p w14:paraId="1AB0E7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понятия «заемщик» раскрывается в нормах гражданского законодательства. Так, по смыслу ст. 819 ГК РФ заемщиком является сторона кредитного договора, которой кредитор обязуется предоставить деньги в размере и на условиях, предусмотренных договором, и которая, в свою очередь, обязуется возвратить полученную денежную сумму и уплатить проценты на нее. По смыслу ст. 807 ГК РФ заемщиком является сторона договора займа, которой займодавец передает в собственность деньги или другие вещи, определенные родовыми признаками, и которая, в свою очередь, обязуется возвратить займодавцу такую же сумму денег или равное количество других полученных им вещей того же рода и качества. В соответствии с положением Федерального закона «О потребительском кредите (займе)» от 21 декабря 2013 г. заемщик – это физическое лицо, обратившееся к кредитору с намерением получить, получающее или получившее потребительский кредит</w:t>
      </w:r>
      <w:r>
        <w:rPr>
          <w:rFonts w:ascii="Times New Roman" w:hAnsi="Times New Roman" w:cs="Times New Roman"/>
          <w:iCs/>
          <w:sz w:val="28"/>
          <w:szCs w:val="28"/>
          <w:vertAlign w:val="superscript"/>
        </w:rPr>
        <w:footnoteReference w:id="10"/>
      </w:r>
      <w:r>
        <w:rPr>
          <w:rFonts w:ascii="Times New Roman" w:hAnsi="Times New Roman" w:cs="Times New Roman"/>
          <w:sz w:val="28"/>
          <w:szCs w:val="28"/>
        </w:rPr>
        <w:t>.</w:t>
      </w:r>
    </w:p>
    <w:p w14:paraId="4B205B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Субъектом преступления, предусмотренного статьей 159.1 УК РФ (мошенничество в сфере кредитования), является физическое вменяемое лицо, достигшее возраста 16 лет. В большинстве случаев субъектом выступает заемщик, который предоставляет заведомо ложные сведения или документы с целью получения кредита.</w:t>
      </w:r>
    </w:p>
    <w:p w14:paraId="20F10EC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Субъективная сторона данного преступления характеризуется виной в форме прямого умысла. Лицо осознает общественную опасность своего поведения, понимает, что вводит кредитора в заблуждение относительно обстоятельств, важных для предоставления кредита (например, уровня дохода, трудовой занятости, имущественного положения), и желает совершить указанные действия с целью незаконного получения денежных средств. Мотивом чаще всего выступает корысть, выражающаяся в стремлении незаконного обогащения за счет кредитора. Цель – получение денежных средств на условиях, которые субъект изначально не намерен выполнять.</w:t>
      </w:r>
    </w:p>
    <w:p w14:paraId="6E84BF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Исследования и анализ преступлений, предусмотренных статьей 159.1 УК РФ (мошенничество в сфере кредитования), охватывают различные аспекты, включая квалификацию, особенности субъективной стороны, судебную практику и проблемы правоприменения.</w:t>
      </w:r>
    </w:p>
    <w:p w14:paraId="75B9CD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Субъектом преступления является любое дееспособное лицо, достигшее 16 лет, предоставляющее заведомо ложные сведения или поддельные документы с целью получения кредита. Субъективная сторона характеризуется прямым умыслом, который проявляется в сознательном введении кредитора в заблуждение с целью хищения денежных средств или иного имущества. Объект преступления – общественные отношения в сфере кредитования, регламентируемые нормативно-правовой базой.</w:t>
      </w:r>
    </w:p>
    <w:p w14:paraId="7400165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Преступление считается завершенным с момента получения заемщиком денежных средств или права распоряжаться имуществом. Однако, если действия ограничились предоставлением ложной информации без фактического получения кредита, это может быть расценено как покушение на преступление. Судебная практика показывает, что ключевым доказательством умысла является использование фиктивных документов, заведомо ложных сведений о доходах или созданных лжепредприятий.</w:t>
      </w:r>
    </w:p>
    <w:p w14:paraId="4265612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сложности в правоприменении связаны с разграничением состава преступлений, предусмотренных статьями 159.1 и 159.3 УК РФ, а также с определением момента окончания преступления. В Постановлении Пленума Верховного Суда РФ № 48 от 30 ноября 2017 года отмечено, что факт предоставления ложных сведений сам по себе не является окончательным доказательством мошенничества и требует анализа намерений лица и фактического ущерба.</w:t>
      </w:r>
    </w:p>
    <w:p w14:paraId="20D43A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Судебные дела, связанные с мошенничеством в сфере кредитования, подтверждают, что наиболее распространенные способы преступлений включают предоставление поддельных справок о доходах, сокрытие задолженностей и фальсификацию документов. Исследования этой темы представлены в трудах ученых и юристов, обсуждающих как теоретические, так и практические аспекты борьбы с подобными преступлениями.</w:t>
      </w:r>
    </w:p>
    <w:p w14:paraId="79B96E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следует из приведенных выше общих положений ГК РФ о договорах займа и кредита, заемщиком является сторона по договору займа, кредитному договору. То есть приобретение статуса заемщика лицом возможно только при условии заключения им с кредитором (займодавцем) кредитного договора (договора займа). В рамках указанного подхода, исходя из буквального толкования диспозиции ст. 159.1 УК РФ, невозможно квалифицировать действия лица, предоставившего кредитору заведомо ложные и недостоверные сведения в целях хищения денежных средств, направленные на заключение кредитного договора (договора займа), до заключения между ними указанного договора как покушение на мошенничество в сфере кредитования из-за отсутствия среди элементов состава такого преступления признаков специального субъекта.</w:t>
      </w:r>
    </w:p>
    <w:p w14:paraId="7C16825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применении такого подхода квалификация приведенных действий возможна только по ст. 159 УК РФ. Однако, исходя из анализа складывающейся судебной практики, такие действия квалифицируются суда ми по ч. 3 ст. 30 и соответствующей части ст. 159.1 УК РФ.</w:t>
      </w:r>
    </w:p>
    <w:p w14:paraId="03E9F10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ч. 1 ст. 20 УК РФ общий возраст привлечения к уголовной ответственности составляет шестнадцать лет, но уголовным законом предусмотрено снижение порога до четырнадцати лет, за совершение преступлений, закрепленных ч. 2 данной статьи. Ответственность за совершение любого преступления, закрепленного Общей частью УК РФ, наступает с 18 лет.</w:t>
      </w:r>
    </w:p>
    <w:p w14:paraId="7844C77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уголовным законом выделяется специальный субъект преступления. Такой субъект отличается от обычного тем, что совместно с общими признаками он содержит в себе признаки, предусмотренные Особенной частью УК РФ. К таким признакам относят, например:</w:t>
      </w:r>
    </w:p>
    <w:p w14:paraId="4B8AC135">
      <w:pPr>
        <w:pStyle w:val="1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Признаки гражданства лица.</w:t>
      </w:r>
    </w:p>
    <w:p w14:paraId="631F4DFB">
      <w:pPr>
        <w:pStyle w:val="1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Признаки, характеризующие семейные, родственные отношения.</w:t>
      </w:r>
    </w:p>
    <w:p w14:paraId="30FFC615">
      <w:pPr>
        <w:pStyle w:val="1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Должностное положение субъекта.</w:t>
      </w:r>
    </w:p>
    <w:p w14:paraId="6D4A0D8C">
      <w:pPr>
        <w:pStyle w:val="1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Отношение к воинским обязанностям.</w:t>
      </w:r>
    </w:p>
    <w:p w14:paraId="241D265D">
      <w:pPr>
        <w:pStyle w:val="18"/>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Обязанности граждан в отношении государства.</w:t>
      </w:r>
    </w:p>
    <w:p w14:paraId="45A094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 этого, специальный признак, закрепленный в статье Особенной части УК РФ для конкретного состава будет считаться обязательным. В соответствие с ч. 1 ст. 20 и ч. 1 ст. 159.1 УК РФ субъектом преступления является вменяемое физическое лицо, достигшее шестнадцатилетнего возраста со статусом заемщика. Под заемщиком понимается лицо, «обратившееся к кредитору с намерением получить, получающее или получившее кредит в виде денежных средств от своего имени или от имени представляемого им на законных основаниях юридического лица».</w:t>
      </w:r>
    </w:p>
    <w:p w14:paraId="1DEB37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Обращаясь к гражданскому законодательству, согласно п. 1 ст. 819 ГК РФ заемщиком признается лицо, которое обязуется возвратить кредитору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p w14:paraId="79D060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 2 ч. 1 ст. 3 Федерального закона от 21 декабря 2013 г. №353-1 «О потребительском кредите» заемщиком выступает физическое лицо, обратившиеся к кредитору с намерением получить, получающее или получившее потребительский кредит.</w:t>
      </w:r>
    </w:p>
    <w:p w14:paraId="22342A9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 5 Постановления Пленума Верховного Суда РФ от 30.11.2017 №48 «О судебной практике по делам о мошенничестве, присвоении и растрате» мошенничество признается оконченным с момента, когда указанное имущество поступило в незаконное владение виновного или других лиц и они получили реальную возможность пользоваться или распорядиться им по своему усмотрению. В соответствии с гражданским законодательством лицо приобретает статус заемщика только после того, как будет подписан договор с кредитором. Отсюда следует, что до подписания такого договора, лицо не получает статус заемщика и оно не может быть субъектом статьи 159.1 УК РФ. Такая ситуация может возникать, когда кредитор осуществляет проверку данных потенциального заемщика и находит в его документах сведения, не соответствующих действительности. На первый взгляд может показаться, что произошло покушение на ст. 159.1 УК РФ, однако лицо на момент его совершения еще не имеет статуса заемщика и не является субъектом данной статьи. Но из анализа правоприменительной практики судов, в том числе Постановления Пленума Верховного Суда РФ от 30.11.2017 №48 «О судебной практике по делам о мошенничестве, присвоении и растрате», можно сделать вывод о том, что лицо признается заемщиком даже без заключения договора, так как его умысел был направлен именно на хищение средств у кредитора.</w:t>
      </w:r>
    </w:p>
    <w:p w14:paraId="6A861CA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Стоит обращать внимание на ситуации, когда заемщиком выступает юридическое лицо. Если в роли заемщика при заключении кредитного договора, маскирующего мошенничество, выступает не виновное физическое лицо, а юридическое лицо, которое либо возглавляется указанным физическим лицом, либо уполномочено представлять данную организацию в отношениях с контрагентами, то содеянное также можно квалифицировать по ст. 159.1 УК РФ. При этом, если выступающее в роли заемщика юридическое лицо, возглавляемое виновным, либо создано исключительно для осуществления преступной деятельности, в том числе подобных хищений, либо на момент совершения мошенничества никакой законной деятельностью не занималось, а было использовано только как средство совершения преступления, содеянное следует квалифицировать по ст. 159 УК РФ. Также необходимо квалифицировать случаи мошенничества, если юридическое лицо отсутствовало, а виновный лишь использовал при представлении кредитору заведомо поддельные документы, содержащие реквизиты несуществующей организации.</w:t>
      </w:r>
    </w:p>
    <w:p w14:paraId="4DE129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в одном из приговоров, суд указывал на то, что «подсудимый Рубцов подыскал юридическое лицо, ввел в заблуждение ранее неизвестного ему ФИО, назначил его генеральным директором указанного юридического лица и представил ему заведомо ложные сведения о финансово-хозяйственной деятельности организации для получения кредита в кредитной организации с целью похищения указанных денежных средств.</w:t>
      </w:r>
    </w:p>
    <w:p w14:paraId="300AE9E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Рубцов обратился к кредитному специалисту ОАО «КБ» с комплектом документов юридического лица для последующего получения кредита и ввел в заблуждение банковскую организацию относительно платежеспособности этого юридического лица.</w:t>
      </w:r>
    </w:p>
    <w:p w14:paraId="2709C10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основании недостоверных сведений, был заключен кредитный договор. После перечисления денежных средств на расчетный счет юридического лица, ФИО, не зная о преступных намерениях Рубцова, снял с расчетного счета денежные средства и передал их последнему». В данном случае суд квалифицировал действия Рубцова по ст. 159 УК РФ, так как в данном случае ФИО выступающий, как заемщик, ввиду того, что был введен в заблуждение Рубцовым, относительно правомерности получения кредита и не участвовал в хищении денежных средств ОАО «КБ»</w:t>
      </w:r>
      <w:r>
        <w:rPr>
          <w:rFonts w:ascii="Times New Roman" w:hAnsi="Times New Roman" w:cs="Times New Roman"/>
          <w:iCs/>
          <w:sz w:val="28"/>
          <w:szCs w:val="28"/>
          <w:vertAlign w:val="superscript"/>
        </w:rPr>
        <w:footnoteReference w:id="11"/>
      </w:r>
      <w:r>
        <w:rPr>
          <w:rFonts w:ascii="Times New Roman" w:hAnsi="Times New Roman" w:cs="Times New Roman"/>
          <w:sz w:val="28"/>
          <w:szCs w:val="28"/>
        </w:rPr>
        <w:t>.</w:t>
      </w:r>
    </w:p>
    <w:p w14:paraId="7EC480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Еще один спорный вопрос в отношении субъекта данной статьи может возникать в ситуациях, когда кредитные обязательства на себя берет одно лицо, а фактически исполнять данный договор должно другое, однако на это у него нет намерения.</w:t>
      </w:r>
    </w:p>
    <w:p w14:paraId="52FBCE4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таком случае ст. 159.1 УК РФ не допустима к применению, поскольку лицо, выступающее заемщиком, не имеет умысла на хищение и намерения не исполнять обязательства. В свою очередь, лицо, «которому заемщик передает кредитные денежные средства, имея умысел на хищение путем обмана, не является специальным субъектом – заемщиком. Соответственно, квалификация должна проводиться по общей норме о мошенничестве.</w:t>
      </w:r>
    </w:p>
    <w:p w14:paraId="21EC548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например, в приговоре суда было установлено, что «А. обратился к знакомому Р. С просьбой взять кредит. А. сообщил Р. заведомо ложные сведения о том, что у него нет возможности принятия кредитных обязательств на себя в силу отсутствия заработной платы. Р., не зная о том, что А., преследуя преступные намерения, не собирается выплачивать кредит, заключил договор с банком и передал полученную сумму А. Следствием данное дело было квалифицировано по ст. 159 УК РФ как мошенничество, т.е. хищение чужого имущества, совершенное путем обмана и злоупотребления доверием ввиду того, что отсутствовал специальный субъект ст. 159.1 УК РФ»</w:t>
      </w:r>
      <w:r>
        <w:rPr>
          <w:rFonts w:ascii="Times New Roman" w:hAnsi="Times New Roman" w:cs="Times New Roman"/>
          <w:iCs/>
          <w:sz w:val="28"/>
          <w:szCs w:val="28"/>
          <w:vertAlign w:val="superscript"/>
        </w:rPr>
        <w:footnoteReference w:id="12"/>
      </w:r>
      <w:r>
        <w:rPr>
          <w:rFonts w:ascii="Times New Roman" w:hAnsi="Times New Roman" w:cs="Times New Roman"/>
          <w:sz w:val="28"/>
          <w:szCs w:val="28"/>
        </w:rPr>
        <w:t>.</w:t>
      </w:r>
    </w:p>
    <w:p w14:paraId="75F17C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ч. 3 ст. 159.1 УК РФ субъектом данного состава может быть лицо, совершившее преступление с использованием своего служебного положения. В п. 29 Постановления Пленума Верховного Суда РФ от 30.11.2017 №48 «О судебной практике по делам о мошенничестве, присвоении и растрате» под лицами, использующими свое служебное положение при совершении мошенничества, следует понимать должностных лиц, постоянно, временно или по специальному полномочию осуществляющих функции представителя власти либо выполняющих организационно-распорядительные, административно-хозяйственные функции в государственных органах, органах местного самоуправления, корпорациях, компаниях, муниципальных унитарных предприятиях, обществах, контрольный пакет акций которых принадлежит РФ, субъектам РФ или муниципальным образованиям, а также в Вооруженных Силах РФ, других войсках и воинских формированиях РФ, государственных или муниципальных служащих, не являющихся должностными лицами, а также иных лиц, выполняющих управленческие функции в коммерческой или иной организации, а также в некоммерческой организации, не являющейся государственным органом, органом местного самоуправления и др.</w:t>
      </w:r>
    </w:p>
    <w:p w14:paraId="4304D3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Деяние с таким субъектом возможно, когда сотрудник банка имеет прямую или косвенную возможность оказывать влияние на решение при принятии документов для получения кредита или же при непосредственной выдаче денежных средств кредитной организации лицу, что способствует совершению преступления.</w:t>
      </w:r>
    </w:p>
    <w:p w14:paraId="773FF2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Такие ситуации могут происходить в случаях, когда «кредитные организации не соблюдают собственные процедуры выдачи кредита, проверки законности создания, финансового состояния заемщика, реального наличия имущества и подлинности документов, подтверждающих право собственности заемщика на имущество».</w:t>
      </w:r>
    </w:p>
    <w:p w14:paraId="3149079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Поэтому можно сделать вывод о том, что такой субъект может появиться в составе только при совокупности признаков, как:</w:t>
      </w:r>
    </w:p>
    <w:p w14:paraId="7D03E7BD">
      <w:pPr>
        <w:pStyle w:val="18"/>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Наличие у лица определенных, особых полномочий, отличающих его от других субъектов.</w:t>
      </w:r>
    </w:p>
    <w:p w14:paraId="770532FB">
      <w:pPr>
        <w:pStyle w:val="18"/>
        <w:numPr>
          <w:ilvl w:val="0"/>
          <w:numId w:val="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Использование таким субъектом служебных полномочий непосредственно при совершении преступления.</w:t>
      </w:r>
    </w:p>
    <w:p w14:paraId="5B334D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Например, «Ахмадиев, являясь кредитным менеджером ООО «Банк», находясь в магазине, совершил мошенничество в сфере кредитования при следующих обстоятельствах.</w:t>
      </w:r>
    </w:p>
    <w:p w14:paraId="7E3AA7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Ахмадиев, являясь кредитным менеджером ООО «Банк», предоставил подложные сведения, сформировал заявку на получение кредита на имя Имаевой, путем обмана последней и получения ее паспорта, внес в базу данных банка анкетные данные Имаевой и оформил от ее имени заявку на получение кредита, который был одобрен службой управления ООО «Банк».</w:t>
      </w:r>
    </w:p>
    <w:p w14:paraId="0A9972C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Ахмадиев оформил договор потребительского кредитования о предоставлении ООО «Банк» кредита на имя Имаевой. Затем Ахмадиев, путем обмана Имаевой, заполучил денежные средства, выданные кредитором»</w:t>
      </w:r>
      <w:r>
        <w:rPr>
          <w:rFonts w:ascii="Times New Roman" w:hAnsi="Times New Roman" w:cs="Times New Roman"/>
          <w:iCs/>
          <w:sz w:val="28"/>
          <w:szCs w:val="28"/>
          <w:vertAlign w:val="superscript"/>
        </w:rPr>
        <w:footnoteReference w:id="13"/>
      </w:r>
      <w:r>
        <w:rPr>
          <w:rFonts w:ascii="Times New Roman" w:hAnsi="Times New Roman" w:cs="Times New Roman"/>
          <w:sz w:val="28"/>
          <w:szCs w:val="28"/>
        </w:rPr>
        <w:t>.</w:t>
      </w:r>
    </w:p>
    <w:p w14:paraId="59B6DC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ч. 2 и ч. 4 ст. 159.1 УК РФ, как квалифицирующий признак субъекта состава преступления выделяется группа лиц по предварительному сговору и организованная группа лиц.</w:t>
      </w:r>
    </w:p>
    <w:p w14:paraId="1863B9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 чтобы данное деяние квалифицировать по ч. 2, а  именно как группа лиц по предварительному сговору, необходимо, чтобы в нее входило два и более лица, заранее договорившиеся о совместном их совершении. При рассмотрении дел об указанных преступлениях, совершенным двумя и более лицами, суду надлежит выяснить, какие конкретно действия, непосредственно направленные на исполнение объективной стороны этих преступлений, выполнял каждый из соучастников. Кроме того, суду надлежит исследовать в судебном заседании и указать в приговоре доказательства, подтверждающие вину каждого из исполнителей и иных соучастников (организаторов, пособников, подстрекателей).</w:t>
      </w:r>
    </w:p>
    <w:p w14:paraId="50DF4D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Такое положение закрепляется в п. 28 Постановления Пленума Верховного Суда РФ от 30.11.2017 №48 «О судебной практике по делам о мошенничестве, присвоении и растрате» мошенничество в кредитовании считается совершенным группой лиц по предварительному сговору, если в преступлении участвовали два или более лица, отвечающие признакам специального субъекта этого преступления, которые заранее договорились о совместном совершении преступления.</w:t>
      </w:r>
    </w:p>
    <w:p w14:paraId="7037DC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Приведем пример. «Юлов, имея умысел на хищение денежных средств, вступил в предварительный преступный сговор с неустановленным лицом, совместно с которым разработал преступную схему хищения денежных средств ООО МФО «Мани Мен», предоставил заведомо ложные и недостоверные сведения о своей личности, платежеспособности, а также о месте работы кредитору. В соответствии с преступной схемой Юлову была отведена преступная роль, которая заключалась в непосредственном личном оформлении пакета документов на получение кредита, путем внесения в анкетные данные заемщика заведомо ложных и недостоверных сведений.</w:t>
      </w:r>
    </w:p>
    <w:p w14:paraId="3A22B07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разработанной преступной схемой, Юлов предоставил заведомо ложные и недостоверные сведения в МФО «Мани Мен», после чего, кредитор выдал кредитные денежные средства, которые Юлов и неустановленное лицо, не имели намерений и возможности исполнять взятые на себя обязательства»</w:t>
      </w:r>
      <w:r>
        <w:rPr>
          <w:rFonts w:ascii="Times New Roman" w:hAnsi="Times New Roman" w:cs="Times New Roman"/>
          <w:iCs/>
          <w:sz w:val="28"/>
          <w:szCs w:val="28"/>
          <w:vertAlign w:val="superscript"/>
        </w:rPr>
        <w:footnoteReference w:id="14"/>
      </w:r>
      <w:r>
        <w:rPr>
          <w:rFonts w:ascii="Times New Roman" w:hAnsi="Times New Roman" w:cs="Times New Roman"/>
          <w:sz w:val="28"/>
          <w:szCs w:val="28"/>
        </w:rPr>
        <w:t>.</w:t>
      </w:r>
    </w:p>
    <w:p w14:paraId="7B4B16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Особо квалифицированный состав закрепляется в ч. 4 ст. 159.1 УК РФ, при совершении преступления организованной группой лиц. Отличие от группы лиц по предварительному сговору в том, что данная группа устойчивую основу, а также внутренне распределение ролей между ее участниками.</w:t>
      </w:r>
    </w:p>
    <w:p w14:paraId="23A2C6C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ч. 3 ст. 35 УК РФ преступление признается совершенным организованной группой, если оно совершено устойчивой группой лиц, заранее объединившихся для совершения одного или нескольких преступлений.</w:t>
      </w:r>
    </w:p>
    <w:p w14:paraId="466963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п. 28 Постановления Пленума Верховного Суда РФ от 30.11.2017 №48 «О судебной практике по делам о мошенничестве, присвоении и растрате» следует, что в организованную группу по смыслу части 3 статьи 35 УК РФ могут входить также лица, не обладающие признаками специального субъекта, предусмотренными статьей 159.1 УК РФ, которые заранее объединились для совершения одного или нескольких преступлений, а в случае признания мошенничества совершенными организованной группой действия всех ее членов, принимавших участие в подготовке или в совершении преступления, независимо от их фактической роли следует квалифицировать по ст. 159.1 УК РФ без ссылки на ст. 33 УК РФ.</w:t>
      </w:r>
    </w:p>
    <w:p w14:paraId="1C8035F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Пример из практики приведем следующий. «У Блаховского возник умысел на совершение хищения чужого имущества с указанной целью, осознавая, что для реализации умысла необходимы соучастники, а также обладая индивидуально-психологическими особенностями лидера, подсудимый решил создать организованную преступную группу с постоянным составом ее членов, распределением ролей между членами группы. Реализуя свой преступный умысел на создание организованной группы, Блаховский предложил ФИО, а также второму и третьему лицам создать организованную группу. Указанные лица вступили с Блаховским в преступный сговор на совершение противоправных деяний в составе организованной группы. </w:t>
      </w:r>
    </w:p>
    <w:p w14:paraId="6AA760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организатор преступной группы Блаховский определил для себя общее единоличное руководство организованной группы. Между членами организованной группы имелась тесная связь в стремлении к единому преступному результату, согласованной действий, постоянство форм и методов преступной деятельности.</w:t>
      </w:r>
    </w:p>
    <w:p w14:paraId="37353A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Блаховский дал указание третьему лицу организовать изготовление поддельного паспорта. После изготовления поддельного паспорта, Блаховский предоставил заведомо ложные сведения в ПАО «Росбанк». После Блаховский выполняя роль исполнителя преступления, заключил с ПАО «Росбанк» кредитный договор и получил денежные средства</w:t>
      </w:r>
      <w:r>
        <w:rPr>
          <w:rFonts w:ascii="Times New Roman" w:hAnsi="Times New Roman" w:cs="Times New Roman"/>
          <w:iCs/>
          <w:sz w:val="28"/>
          <w:szCs w:val="28"/>
          <w:vertAlign w:val="superscript"/>
        </w:rPr>
        <w:footnoteReference w:id="15"/>
      </w:r>
      <w:r>
        <w:rPr>
          <w:rFonts w:ascii="Times New Roman" w:hAnsi="Times New Roman" w:cs="Times New Roman"/>
          <w:sz w:val="28"/>
          <w:szCs w:val="28"/>
        </w:rPr>
        <w:t>.</w:t>
      </w:r>
    </w:p>
    <w:p w14:paraId="2F1921E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доктрине криминалистики выделяют такие способы совершения преступления, а именно полноструктурный и неполноструктурный. Под первым способом понимают совершение преступного деяния с объединенным преступным замыслом при подготовке деяния, его последующего совершения и сокрытия, а личностные психофизические свойства каждого участника группа и условия внешней среды способствуют более успешному совершению преступления. При втором способе совершения преступления могут отсутствовать ранее названные элементы, например, сокрытие следов или подготовка к преступлению.</w:t>
      </w:r>
    </w:p>
    <w:p w14:paraId="38B30E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этого следует, что совершение преступления организованной группой лиц самое тяжкое в данном составе, так как причиняет более негативные последствия охраняемым УК РФ законным интересам и совершается в более облегченной форме.</w:t>
      </w:r>
    </w:p>
    <w:p w14:paraId="317832C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субъективную сторону преступления. Субъективная сторона преступления – это «психическая деятельность лица, непосредственно связанная с совершением преступления». В это понятие включаются такие элементы как вина, мотив и цель.</w:t>
      </w:r>
    </w:p>
    <w:p w14:paraId="63D627F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 виной понимается психическое отношение лица к совершаемому им конкретному общественно опасному деянию и его общественно опасным последствиям, выраженное  форме умысла или неосторожности. Согласно ч. 1 ст. 24 УК РФ вина может быть в двух формах: умысел и неосторожность. Умысел имеет два вида: прямой и косвенный, а неосторожность – легкомыслие и небрежность. Содержание вины образуется двумя элементами – интеллектуальным и волевым. В интеллектуальный элемент вины входит осознание характера объекта, фактического содержания и социального значения совершаемого деяния. При совершении преступлений с материальным составом в интеллектуальный элемент вины входит также и предвидение общественно-опасных последствий. Волевой элемент вины выражается «в желании или безразличном отношении субъекта преступления к общественно-опасным последствиям, наступившим в результате преступного деяния».</w:t>
      </w:r>
    </w:p>
    <w:p w14:paraId="74C613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Мотивом преступления считается «обусловленное определенными потребностями внутреннее побуждение, которым виновный руководствовался при совершении преступления», а целью – «желаемой результат деяния, то есть идеальную мысленную модель будущего конечного результата, к достижению которого стремится субъект преступления».</w:t>
      </w:r>
    </w:p>
    <w:p w14:paraId="3A77CFA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определения прямого умысла в УК РФ, умысел мошенничества в сфере кредитования является «прямым и конкретизированным», выражается в том, что заемщик должен осознавать общественно-опасный характер своих действий по завладению кредитными денежными средствами, предвидит возможность или неизбежность наступления общественно опасного последствия в виде ущерба банку или иному кредитору и желает наступления данного последствия. О наличии прямого умысла может свидетельствовать, в частности, заведомое отсутствие у лица реальной финансовой возможности исполнить обязательство, использование им подложных документов, сокрытие имеющихся задолженностей и др.</w:t>
      </w:r>
    </w:p>
    <w:p w14:paraId="6130176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перечисленные обстоятельства сами по себе необязательно свидетельствуют о наличии мошенничества в сфере кредитования, в каждом конкретном случае должно быть достоверно установлено, что лицо, совершившее определенные действия, заведомо не намеревалось исполнять обязательства заемщика.</w:t>
      </w:r>
    </w:p>
    <w:p w14:paraId="1045F6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Подобная точка зрения закреплена в п. 4 Постановления Пленума Верховного Суда РФ от 30.11.2017 №48 «О судебной практике по делам о мошенничестве, присвоении и растрате», а именно об умысле могут свидетельствовать, в частности, заведомое отсутствие у лица реальной возможности исполнить обязательство в соответствии с условиями договора, использование лицом при заключении договора поддельных документов, в том числе документов, удостоверяющих личность, уставных документов, гарантийных писем, справок, сокрытие лицом информации о наличии задолженностей и залогов имущества, распоряжение полученным имуществом в личных целях вопреки условиям договора и другие.</w:t>
      </w:r>
    </w:p>
    <w:p w14:paraId="215C4D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можно обозначить признаки, указывающие на совершение мошенничества в сфере кредитования только с прямым умыслом:</w:t>
      </w:r>
    </w:p>
    <w:p w14:paraId="71B98539">
      <w:pPr>
        <w:pStyle w:val="18"/>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Корыстная цель – выражающаяся в желании заемщика изъять и обратить денежные средства кредитора, тем самым причинить ему материальные последствия. В данном составе преступления, корыстная цель заключается в изъятии и обращении чужого имущества в свою пользу либо распоряжении указанным имуществом как своим собственным, в том числе путем передачи его в обладание других лиц. При этом существует вариативность цели, а именно обращение чужого имущества в свою пользу либо обращение чужого имущества в пользу третьих лиц.</w:t>
      </w:r>
    </w:p>
    <w:p w14:paraId="4748E3D8">
      <w:pPr>
        <w:pStyle w:val="18"/>
        <w:numPr>
          <w:ilvl w:val="0"/>
          <w:numId w:val="9"/>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Осознание заемщиком ложности и недостоверности предоставленных документов кредитору, то есть преступнику доподлинно известно, что сведения о нем, как о заемщике содержат в себе недостоверные сведения. Предоставляя такие сведения, заемщик осознает и предвидит, что совершает обман кредитора, вводит его в заблуждение и впоследствии причиняет ему материальный ущерб. Помимо этого, чтобы совершить мошенничество в сфере кредитования, заемщику необходимо изготовить или приобрести недостоверные документы. Такое возможно сделать только при наличии у лица заранее обдуманного умысла не неисполнение взятых на себя обязательств.</w:t>
      </w:r>
    </w:p>
    <w:p w14:paraId="24C0408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 прямом умысле говорит и способ совершения преступления – обман. Обман проявляется в намерении не возвращать кредит, нашедший отражение в гражданско-правовом договоре, на основании которого предоставляется кредит. Заемщик соглашается с условиями кредитного договора, «заранее зная, что исполнять обязательство он не собирается, а также, помимо всего, представляет кредитору заведомо ложные и недостоверные сведения с целью ввести его в заблуждение. В данном случае все это можно сделать, только имея прямой умысел на совершение преступления». Поэтому субъективная сторона по ст. 159.1 УК РФ выражается прямым умыслом и корыстной целью заемщика на хищение денежных средств, представленных в кредит.</w:t>
      </w:r>
    </w:p>
    <w:p w14:paraId="2BDADF2F">
      <w:pPr>
        <w:spacing w:after="0" w:line="360" w:lineRule="auto"/>
        <w:jc w:val="both"/>
        <w:rPr>
          <w:rFonts w:ascii="Times New Roman" w:hAnsi="Times New Roman" w:cs="Times New Roman"/>
          <w:sz w:val="28"/>
          <w:szCs w:val="28"/>
        </w:rPr>
      </w:pPr>
    </w:p>
    <w:p w14:paraId="4289FD93">
      <w:pPr>
        <w:pStyle w:val="3"/>
        <w:spacing w:before="0" w:line="360" w:lineRule="auto"/>
        <w:jc w:val="center"/>
        <w:rPr>
          <w:rFonts w:ascii="Times New Roman" w:hAnsi="Times New Roman" w:cs="Times New Roman"/>
          <w:b/>
          <w:bCs/>
          <w:color w:val="auto"/>
          <w:sz w:val="28"/>
          <w:szCs w:val="28"/>
        </w:rPr>
      </w:pPr>
      <w:bookmarkStart w:id="6" w:name="_Toc189409722"/>
      <w:r>
        <w:rPr>
          <w:rFonts w:ascii="Times New Roman" w:hAnsi="Times New Roman" w:cs="Times New Roman"/>
          <w:b/>
          <w:bCs/>
          <w:color w:val="auto"/>
          <w:sz w:val="28"/>
          <w:szCs w:val="28"/>
        </w:rPr>
        <w:t>2.2 Актуальные проблемы квалификация мошенничества в сфере кредитования</w:t>
      </w:r>
      <w:bookmarkEnd w:id="6"/>
    </w:p>
    <w:p w14:paraId="6B536447">
      <w:pPr>
        <w:rPr>
          <w:rFonts w:ascii="Times New Roman" w:hAnsi="Times New Roman" w:cs="Times New Roman"/>
          <w:sz w:val="28"/>
          <w:szCs w:val="28"/>
        </w:rPr>
      </w:pPr>
    </w:p>
    <w:p w14:paraId="284848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быстрого обогащения всегда привлекала множество лиц, в том числе посредством совершения противоправных действий. Кредитование населения, в том числе физических или юридических лиц остается одной из самых популярных услуг, в особенности в свете определенной изоляции Российской Федерации в мировом масштабе. Для привлечения максимального количества клиентов банки или иные кредитные организации создают самые выгодные предложения и максимально удобные условия для получения денежных средств, в том числе в условиях применения искусственного интеллекта. Однако у подобных организаций отсутствует арсенал законных средств, позволяющий на достаточном уровне проводить проверки личности заемщика и его финансовой платежеспособности. Поэтому в данной сфере возникают риски совершения противоправных действий и мошеннические действия совершаются в данной сфере все чаще. На данный момент указанная проблема в обществе является также одной из самых острых.</w:t>
      </w:r>
    </w:p>
    <w:p w14:paraId="059671F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Состав, описанный в ст. 159.1 УК РФ, является частично-специальной нормой, привилегированной разновидностью общеуголовного мошенничества (ст. 159 УК РФ). Основной непосредственный объект мошенничества, предусмотренного ст. 159.1 УК РФ, отношения собственности только юридических лиц, складывающиеся в сфере кредитования. Дополнительным обязательным объектом выступают общественные отношения, обеспечивающие порядок кредитования. Отношения кредитования возникают на основе кредитного договора (ст. 819 ГК РФ), а также установленных банком правил, регламентирующих процедуру получения кредита, следовательно, за рамками уголовно-правовой охраны данной нормы остаются общественные отношения, складывающиеся на основе иных видов займа. Кроме того, пределы действия данной нормы определяют такие используемые законодателем признаки, как «банк», «кредитор», «заемщик», для уяснения содержания которых, безусловно, необходимо обратиться к регулятивному законодательству. </w:t>
      </w:r>
    </w:p>
    <w:p w14:paraId="5F4DAE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 диспозиции ч. 1 ст. 159.1 УК РФ следует, что объективная сторона преступления включает в себя: </w:t>
      </w:r>
    </w:p>
    <w:p w14:paraId="6E282CF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введение кредитора в заблуждение посредством предоставления заемщиком заведомо ложных и (или) недостоверных сведений; </w:t>
      </w:r>
    </w:p>
    <w:p w14:paraId="5E62FD7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передачу кредитором в наличной или безналичной форме заемщику денежных средств; </w:t>
      </w:r>
    </w:p>
    <w:p w14:paraId="1BDE300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получение заемщиком указанного имущества вопреки установленных банком правил кредитования и обращение их в свою пользу или пользу других лиц. </w:t>
      </w:r>
    </w:p>
    <w:p w14:paraId="24FF93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Обман или злоупотребление доверием в качестве способов не указаны в диспозиции ч. 1 ст. 159.1 УК РФ, однако они подразумеваются. Относительно ложных и (или) недостоверных сведений необходимо отметить, что они должны иметь существенное значение для одобрения кредита и последующего заключения кредитного договора. Сведения могут содержаться как в официальных документах (например, в справке по форме 2-НДФЛ), так и в иных первичных документах, заполняемых заемщиком в кредитной организации (например, в анкете заемщика). При этом следует согласиться с высказанной в научной литературе позицией, согласно которой «недостоверные сведения могут изначально не быть ложными, но при определенных условиях (о которых, несомненно, знает заемщик) приводить кредитора к ошибочным представлениям о фактическом финансовом положении будущего должника. Например, потенциальный заемщик представляет банку реальную справку 2-НДФЛ и другие документы, которые требует банк, однако умалчивает о своих существенных финансовых обязательствах по договору найма, залога и т.п.».</w:t>
      </w:r>
    </w:p>
    <w:p w14:paraId="04AE6A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Верховный Суд РФ разъяснил, что мошенничество в форме хищения признается оконченным с момента, когда имущество поступило в незаконное владение виновного или других лиц и они получили реальную возможность (в зависимости от потребительских свойств этого имущества) пользоваться или распорядиться им по своему усмотрению. Однако если были похищены безналичные денежные средства, в том числе электронные денежные средства, то момент окончания такого преступления будет определяться по-другому. В частности, Пленум разъяснил, что в таком случае «преступление следует считать оконченным с момента изъятия денежных средств с банковского счета их владельца или электронных денежных средств, в результате которого владельцу этих денежных средств причинен ущерб».</w:t>
      </w:r>
    </w:p>
    <w:p w14:paraId="5E07C85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Субъект мошенничества в сфере кредитования- специальный, им является физическое лицо, достигшее возраста 16 лет и обладающее статусом заемщика. Если на стороне заемщика выступает юридическое лицо, то объективную сторону преступления выполняет законный представитель такой организации, уполномоченный заключить кредитный договор. Однако в тех случаях, когда заемщиком является несуществующее юридическое лицо или лжеорганизация, то есть специально созданная для совершения данного преступления, то состав мошенничества, предусмотренный ст. 159.1 УК РФ, отсутствует, а деяние образует состав общеуголовного мошенничества. При этом для правильной квалификации мошенничества по ст. 159.1 УК РФ следует учитывать, что лицо приобретает статус заемщика не в момент получения кредита (что соответствует гражданско-правовому пониманию термина «заемщик»), а когда оно обратилось за его получением и выразило свои намерения его получить. </w:t>
      </w:r>
    </w:p>
    <w:p w14:paraId="578ACE8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Мошенничество в сфере кредитования характеризуется умышленной формой вины. Оно может быть совершено только с прямым умыслом, направленным на хищение чужого имущества, и корыстной целью. В правоприменительной практике нередко возникают вопросы разграничения мошенничества, предусмотренного ст. 159.1 УК РФ, и других преступлений. </w:t>
      </w:r>
    </w:p>
    <w:p w14:paraId="366B5D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частности, определяющим критерием, позволяющим разграничить состав, предусмотренный ст. 176 УК РФ, и состав, предусмотренный ст. 159.1 УК РФ, является умысел виновного. Так, «если индивидуальный предприниматель либо руководитель организации представил кредитору заведомо ложные сведения о хозяйственном положении либо финансовом состоянии индивидуального предпринимателя или организации не с целью хищения денежных средств, а с целью получения кредита либо льготных условий кредитования, намереваясь при этом исполнить договорные обязательства, то такие действия не образуют состава мошенничества в сфере кредитования. Указанные действия этих лиц, причинившие крупный ущерб кредитору, квалифицируются по ч. 1 ст. 176 УК РФ». </w:t>
      </w:r>
    </w:p>
    <w:p w14:paraId="6BDA37E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Непросто разрешается проблема конкуренции мошенничества, содержащегося в ч. 5–7 ст. 159 УК РФ, и мошенничества, предусмотренного ст. 159.1 УК РФ. Например, индивидуальный предприниматель преднамеренно не исполняет свои обязательства по кредитному договору, который ранее был им заключен путем предоставления подлинных и достоверных сведений, а невозвращенный кредит использует для осуществления предпринимательской деятельности. Мошенничество совершается одновременно и в сфере кредитования, и в сфере предпринимательской деятельности. В таком случае «исходить следует из общей направленности сложившейся судебной практики квалификации преступлений, ориентирующей на выбор той нормы при конкуренции специальных норм, которая предусматривает более мягкую санкцию». Такой подход соответствует действующему законодательству (ч. 3 ст. 49 Конституции РФ, ч. 3 ст. 14 УПК РФ), согласно которому всякие сомнения в виновности лица толкуются в его пользу.</w:t>
      </w:r>
    </w:p>
    <w:p w14:paraId="4E73072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доктрине уголовного права до сих пор остается дискуссионным вопрос, подпадает ли под действие ст. 159.1 УК РФ случаи, когда виновное лицо, имея намерение не возвращать кредит, обращается в банк, но при этом предоставляет достоверные сведения о себе и своем финансовом положении. Н.А. Лопашенко полагает, что в таком случае нельзя квалифицировать как мошенничество в сфере кредитования. В свою очередь, П.С. Яни исходит из того, что заключая кредитный договор, заемщик сообщает заведомо несоответствующее действительности намерение банку вернуть кредит, таким образом обманывая другую сторону кредитного договора. Представляется верным квалифицировать в таких случаях содеянное по ст. 159.1 УК РФ, в силу того, что заемщик при заключении договора с банком злоупотребляет доверием.</w:t>
      </w:r>
    </w:p>
    <w:p w14:paraId="61DE61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Помимо этого, у правоприменителей вызывает сложности и установление размера причинённого ущерба в мошенничестве в сфере кредитования. Так, спорным является вопрос о том, входит ли в размер причиненного ущерба проценты за пользование предоставленными денежными средствами или только основной долг по кредиту. Как справедливо отмечает А.В. Архипов проценты за пользование кредитными средствами относятся к упущенной выгоде, а не к прямому реальному ущербу, в связи с чем при определении размера хищения учитываться не должны</w:t>
      </w:r>
      <w:r>
        <w:rPr>
          <w:rFonts w:ascii="Times New Roman" w:hAnsi="Times New Roman" w:cs="Times New Roman"/>
          <w:iCs/>
          <w:sz w:val="28"/>
          <w:szCs w:val="28"/>
          <w:vertAlign w:val="superscript"/>
        </w:rPr>
        <w:footnoteReference w:id="16"/>
      </w:r>
      <w:r>
        <w:rPr>
          <w:rFonts w:ascii="Times New Roman" w:hAnsi="Times New Roman" w:cs="Times New Roman"/>
          <w:sz w:val="28"/>
          <w:szCs w:val="28"/>
        </w:rPr>
        <w:t>.</w:t>
      </w:r>
    </w:p>
    <w:p w14:paraId="14C80D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Представляется, что при квалификации случаев мошенничеств в сфере кредитования правоприменителю, в первую очередь, следует помнить, что это одна из форм хищения, которая в обязательном порядке должна содержать все признаки хищения, исходя из определения «хищения», содержащегося в примечании 1 к ст. 158 УК РФ. Кроме того, некоторые проблемные вопросы можно разрешить внеся, соответствующие дополнения в постановление Пленума Верховного Суда РФ, посвященному судебной практике по делам о мошенничестве, присвоении и растрате. </w:t>
      </w:r>
    </w:p>
    <w:p w14:paraId="45135DD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указать еще и на тот факт, что мошеннические действия причиняют колоссальный материальный ущерб как отдельным организациям, так и всей экономике государства в целом, негативно влияя на ее экономическую безопасность. Указанные обстоятельства свидетельствуют о важности проведенного исследования в части противодействия мошенничеству в сфере кредитования. </w:t>
      </w:r>
    </w:p>
    <w:p w14:paraId="18E0978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спорных вопросов, возникающим в процессе уголовно-правовой оценки противоправных действий, является момент окончания преступления. Верховный суд Российской Федерации определил то, что преступное деяние, предусмотренное ст. 159.1 УК  РФ, считается оконченным с  момента получения заемщиком суммы наличных или безналичных денежных средств, определенных в договоре кредитования, а равно приобретения им юридического права на распоряжение такими деньгами. </w:t>
      </w:r>
    </w:p>
    <w:p w14:paraId="3461BE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 в случае, когда заемщик предоставил в банк или иную кредитную организацию ложные сведения (документы), а в процессе проверки сотрудниками указанных организаций данная информация была выявлена, содеянное следует квалифицировать как покушение на хищение. Если же банком был выдан кредит или кредитная карта, то содеянное надлежит квалифицировать как оконченное уголовно наказуемое деяние, даже если преступник не успел использовать заемные средства по своему усмотрению. Так, Рамзаева, скрыв истинные намерения, направленные на  хищение чужого имущества, не  имея фактических намерений и финансовой возможности по выплате суммы кредита, указала банку через менеджера по продажам сведения о месте работы в ООО «*» и о ежемесячной заработной плате 35 000, будучи безработной и не имея заявленного размера заработка, путем заключения кредитного договора с ОАО «*», пыталась похитить чужое, принадлежавшее ОАО «*», имущество–деньги в сумме 298 870 рублей. Однако, Рамзаева И.Н. довести свое преступление до конца, а именно обратить похищенное имущество в свою пользу и получить возможность распоряжаться им по своему усмотрению, не смогла по независящим от нее обстоятельствам, так как ложность сведений о месте работы и заработке была выявлена и в предоставлении кредита было отказано. В связи с этим Рамзаева И.Н. была обоснованно признана виновной в совершении преступления, предусмотренного ч. 3 ст.30 ч.1 ст.159.1 УК РФ</w:t>
      </w:r>
      <w:r>
        <w:rPr>
          <w:rFonts w:ascii="Times New Roman" w:hAnsi="Times New Roman" w:cs="Times New Roman"/>
          <w:iCs/>
          <w:sz w:val="28"/>
          <w:szCs w:val="28"/>
          <w:vertAlign w:val="superscript"/>
        </w:rPr>
        <w:footnoteReference w:id="17"/>
      </w:r>
      <w:r>
        <w:rPr>
          <w:rFonts w:ascii="Times New Roman" w:hAnsi="Times New Roman" w:cs="Times New Roman"/>
          <w:sz w:val="28"/>
          <w:szCs w:val="28"/>
        </w:rPr>
        <w:t>.</w:t>
      </w:r>
    </w:p>
    <w:p w14:paraId="0C058C5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Следующее, что стоит отметить, это факультативный признак объекта о потерпевшем. По смыслу диспозиции ст. 159.1 УК РФ законодатель использует для обозначения потерпевшего от мошеннических действий термины «банк» и «иной кредитор». По причине отсутствия в действующем законодательстве определения понятия «иной кредитор» возникает вопрос о  том: можно ли  потерпевшими от  преступления, предусмотренного ст. 159.1 УК РФ, признавать микрофинансовые организации и им подобные. </w:t>
      </w:r>
    </w:p>
    <w:p w14:paraId="62098A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Такие деяния образуют иной состав преступления либо порождают исключительно гражданско-правовые отношения. Данная позиция в разъяснении суда лишь косвенно отвечает на поставленные вопросы. Так, в постановлении указано то, что потерпевшим в ст. 159.1 УК РФ может являться банк или иная кредитная организация, обладающая правом заключения кредитного договора (ст. 819 ГК РФ). Как отметил профессор П.С. Яни «в итоге длительных споров, мы пришли к выводу, что кредиторами могут выступать только банки. Под действие этой нормы не подпадают договоры займа между гражданами и иными юридическими лицами, в том числе микрофинансовыми организациями». Однако возникает дискуссионный вопрос, почему нельзя признать кредиторами, к примеру, микрофинансовые организации, так как большое количество граждан обращаются как раз именно в такие организации, как «Быстро деньги», «Займы за 5 минут» и т.д., а не в банки в связи с тем, что пытаются путем предоставления недостоверной информации получить займы на небольшую сумму денег, поэтому на данный вопрос четкая позиция высшей судебной инстанции пока не выработана. </w:t>
      </w:r>
    </w:p>
    <w:p w14:paraId="78FED9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если исследовать указанные нормы и законодательство, то можно найти между ними как ряд схожих признаков, так и ряд существенных различий, которые отграничивают деяния друг от друга. </w:t>
      </w:r>
    </w:p>
    <w:p w14:paraId="65825F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Во-первых, к схожим признакам вышеуказанных статей нужно отнести общую сферу, в которой возникают преступные отношения, – это экономическая сфера, область кредитования (родовой объект преступлений общий). </w:t>
      </w:r>
    </w:p>
    <w:p w14:paraId="1677CA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Во-вторых, общий способ совершения уголовно наказуемых деяний, которым выступает предоставление заведомо ложных сведений в банк или иную кредитную организацию. </w:t>
      </w:r>
    </w:p>
    <w:p w14:paraId="774471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В-третьих, деяния совершаются только умышленно. Необходимо проанализировать некоторые отличия рассматриваемых норм. Объект преступных деяний, как было отмечено выше: родовой объект статей единый, но наблюдаются отличия в определении видового и непосредственного объектов преступлений. По субъективной стороне принципиальное отличие содержится именно в субъективной стороне преступлений. </w:t>
      </w:r>
    </w:p>
    <w:p w14:paraId="12CA994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совершении мошенничества в сфере кредитования умысел виновного направлен изначально на желание завладеть денежными средствами без намерения в последующем возвратить их кредитору. При незаконном получении кредита виновное лицо до получения денежных средств рассчитывало вернуть денежные средства и уплатить проценты по кредиту, но по различным причинам он не смог это выполнить. Если денежные средства, выдавшиеся кредитором, будут использоваться по нецелевому назначению, выданных по договору кредита, а также при отсутствии признаков хищения, не будет образовывать состав мошенничества. </w:t>
      </w:r>
    </w:p>
    <w:p w14:paraId="1D5ED8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субъективная сторона мошенничества в сфере кредитования характеризуется прямым умыслом и корыстной целью. То есть, совершая обманные действия, виновный осознает противоправный, безвозмездный характер своих действий, действует изначально с желанием причинить ущерб собственнику с целью личного обогащения либо обогащения третьих лиц.</w:t>
      </w:r>
    </w:p>
    <w:p w14:paraId="4D0273E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следственно-судебной практике большинство преступников отрицают наличие сформированного умысла, направленного на хищение денежных средств. Тем самым они пытаются доказать то, что ввиду ухудшения их финансового состояния произошло невозвращение денежных средств, предоставляемых им по договору кредитования. По причине недоказанности умысла достаточно часто происходит переквалификация мошенничества в сфере кредитования на незаконное получение кредита».</w:t>
      </w:r>
    </w:p>
    <w:p w14:paraId="3F2711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Следующая проблема, встретившаяся при изучении уголовно-правовой нормы и практики ее применения, связана с тем, что на сегодняшний день все больше действий в виде получения кредита осуществляется без человеческого вмешательства. Действительно, лицо получило кредит путем обмана, но сотрудник кредитной организации при этом обманут не был и решение в пользу заемщика под влиянием заблуждения не принимал. По причине того, что терминал нельзя назвать стороной, введенной в заблуждение. В пункте 13 ранее действовавшего постановления Пленума Верховного Суда РФ от 27 декабря 2007 г. № 51 «О судебной практике по делам о мошенничестве, присвоении или растрате» было указано, что «не образует состава мошенничества хищение чужих денежных средств… если выдача наличных денежных средств осуществляется посредством банкомата без участия уполномоченного работника кредитной организации». Подобные случаи квалифицировались по ст. 158 УК РФ. Соответственно, считается, что указанные действия также будут подпадать под признаки состава преступления, предусмотренного ст. 158 УК РФ, и полностью поддерживаем подобную позицию. </w:t>
      </w:r>
    </w:p>
    <w:p w14:paraId="04BDFE3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Возникающие проблемы в определении мошенничества с применением электронных платежных средств, особенно при их использовании для получения средств на незаконно оформленную банковскую карту, могут включать элементы как статьи 159.1, так и статьи 159.3 УК РФ. Ключевым критерием является роль электронного средства в преступлении, что определяет применение статьи 159.3 УК РФ. </w:t>
      </w:r>
    </w:p>
    <w:p w14:paraId="0DAD2B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Различие между статьями 159.1 и 176 УК РФ лежит в субъективной стороне правонарушения. Согласно статье 159.1 мошенничество определяется хищением денежных средств банка или другой кредитной организации путем обмана, что неизбежно приводит к ущербу для пострадавшей стороны. В контексте статьи 176 УК РФ, касающейся незаконного получения кредита, несмотря на то, что методы могут перекликаться, ключевым отличием является отсутствие намерения прямо присвоить средства. Вместо этого может присутствовать либо косвенный умысел, или легкомыслие: заемщик или признает возможность наступления ущерба, либо иррационально надеется избежать его. Исследование субъективной составляющей преступления представляет собой сложную задачу, в особенности когда дело касается установления корыстного умысла, что является обязательным атрибутом согласно статье 159.1 УК РФ. Установить наличие корыстной мотивации зачастую сложно ввиду того, что обвиняемые, как правило, отрицают ее наличие, что приводит к переквалификации действий по статье 176 УК РФ.</w:t>
      </w:r>
    </w:p>
    <w:p w14:paraId="0305F30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аргументацию отсутствия преступного умысла мошенники часто включают указание на частичное погашение кредита. Кроме того, они могут ссылаться на ухудшение своего материального положения как на обстоятельство, маскирующее наличие намерения нарушения.</w:t>
      </w:r>
    </w:p>
    <w:p w14:paraId="44DCE6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доказательство корыстного умысла возможно через подтверждение факта предоставления заведомо ложных сведений для получения кредита. Документы, содержащие недостоверную информацию о заработной плате, занимаемой должности, трудовом стаже и других аспектах финансового состояния заемщика, служат ключевыми элементами, подтверждающими наличие прямого умысла. Таким образом, наличие поддельных документов, недостоверной информации и умолчание о других кредитных обязательствах являются основными признаками, свидетельствующими о прямом умысле правонарушителя.</w:t>
      </w:r>
    </w:p>
    <w:p w14:paraId="77F597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также заключается в том, что действующее законодательство, особенно статья 159 УК РФ, не всегда эффективно разграничивает мошенничество и законные действия в сфере кредитования, особенно в случаях сложных финансовых схем или использования ложной информации.</w:t>
      </w:r>
    </w:p>
    <w:p w14:paraId="4D2C74F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случай на основе статьи 159.1 УК РФ, где заемщик использовал поддельные документы для получения кредита. В данном случае заемщик, зная о недостаточности своих реальных доходов для одобрения кредита, предоставил фальсифицированную справку о заработной плате. Банк, полагаясь на представленные документы, выдал кредит. После обнаружения обмана дело было передано в суд, который, исходя из данных о преднамеренном предоставлении недостоверной информации, признал действия заемщика мошенническими, опираясь на ст. 159.1 УК РФ, предусматривающую ответственность за мошенничество с использованием поддельных документов. </w:t>
      </w:r>
    </w:p>
    <w:p w14:paraId="7B1A1CF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Этот случай подчеркивает важность четкого различия между мошенническими намерениями и ошибками или неточностями в документах, что требует более детализированных законодательных разъяснений и возможно, усиления контроля за процессом кредитования со стороны Службы текущего банковского надзора.</w:t>
      </w:r>
    </w:p>
    <w:p w14:paraId="22D403B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Предлагается усовершенствовать статью 159.1 УК РФ путем введения нового пункта о том, что умышленное предоставление заведомо ложной информации о своем финансовом положении при оформлении кредитов или займов, ведущее к выплате финансовых средств, рассматривается как мошенничество, независимо от наличия умысла на невозврат средств. Это обновление направлено на более эффективное преследование нарушений в кредитной деятельности и повышение ответственности заемщиков.</w:t>
      </w:r>
    </w:p>
    <w:p w14:paraId="65BF325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то время как основная норма мошенничества по статье 159 УК РФ не охватывает использование доверительных отношений, мошенничество в сфере кредитования отличается. Это означает, что если обвиняемый не использует явно ложные данные, а лишь эксплуатирует доверие кредитора для получения кредита, то дело будет квалифицироваться по статье 159 УК РФ. Одной из серьезных проблем в квалификации мошенничества в сфере кредитования в России является отсутствие четкой законодательной базы для регулирования новых финансовых технологий и онлайн-кредитования. Это создает пробелы, которые мошенники используют для реализации схем, не полностью покрываемых действующими статьями УК РФ. Проблема проистекает из быстрого развития технологий и изменения методов кредитования, которые часто опережают законодательные инициативы. Например, практика онлайн-кредитования включает использование электронных платформ для получения и выдачи кредитов, что снижает физический контроль и возможность проверки документов и личности заемщика. Мошенники могут использовать украденные или фальсифицированные личные данные для получения кредитов на чужое имя, а также вводить в заблуждение кредитные организации относительно своих финансовых возможностей.</w:t>
      </w:r>
    </w:p>
    <w:p w14:paraId="618ECC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решения проблемы отсутствия четкой законодательной базы в области онлайн-кредитования в России и уголовной квалификации связанных с этим мошенничеств можно обратиться к усовершенствованию существующих статей УК РФ, в частности статьи 159, которая регламентирует мошенничество. Эта статья предусматривает наказание за обман или злоупотребление доверием, но не полностью охватывает специфику мошенничества в сфере онлайн-кредитования, где основным инструментом являются цифровые технологии. Также статья 172 УК РФ, касающаяся незаконной банковской деятельности, может быть дополнена пунктами, регламентирующими специфику работы кредитных организаций в сети Интернет. Эти дополнения помогут ужесточить требования к верификации данных заемщиков и установить строгие рамки для использования персональных данных в целях кредитования.</w:t>
      </w:r>
    </w:p>
    <w:p w14:paraId="5E7B37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Заслуживает внимания проблематика корректного выявления объекта мошенничества в сфере кредитования. Важно подчеркнуть, что данный объект может представлять собой исключительно финансовые активы. Однако на практике правонарушители оформляют кредитные средства с намерением приобрести активы, мгновенно конвертируя полученные средства в личное достояние. В таком контексте предметом преступления согласно статье 159.1 УК РФ является не приобретенное имущество, а денежные средства, указанные в кредитном договоре.</w:t>
      </w:r>
    </w:p>
    <w:p w14:paraId="795268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современных условиях оформление кредита осуществляется с относительной легкостью, ведь банковские учреждения, стремясь выдержать конкуренцию, предлагают клиентам условия, максимально адаптированные под их потребности. Это приводит к тому, что зачастую происходит недостаточно глубокая проверка предоставляемых заемщиками документов, подтверждающих их финансовую состоятельность. Ответственность банковских структур в ситуации, когда мошеннические действия в сфере кредитования становятся осуществимы, несомненно, имеет место. Неполное исследование документации и предоставленной информации со стороны заемщиков,</w:t>
      </w:r>
      <w:r>
        <w:t xml:space="preserve"> </w:t>
      </w:r>
      <w:r>
        <w:rPr>
          <w:rFonts w:ascii="Times New Roman" w:hAnsi="Times New Roman" w:cs="Times New Roman"/>
          <w:sz w:val="28"/>
          <w:szCs w:val="28"/>
        </w:rPr>
        <w:t>а также пренебрежение добросовестностью со стороны сотрудников банка часто служат основаниями возникновения возможностей для совершения правонарушений</w:t>
      </w:r>
      <w:r>
        <w:rPr>
          <w:rFonts w:ascii="Times New Roman" w:hAnsi="Times New Roman" w:cs="Times New Roman"/>
          <w:iCs/>
          <w:sz w:val="28"/>
          <w:szCs w:val="28"/>
          <w:vertAlign w:val="superscript"/>
        </w:rPr>
        <w:footnoteReference w:id="18"/>
      </w:r>
      <w:r>
        <w:rPr>
          <w:rFonts w:ascii="Times New Roman" w:hAnsi="Times New Roman" w:cs="Times New Roman"/>
          <w:sz w:val="28"/>
          <w:szCs w:val="28"/>
        </w:rPr>
        <w:t>.</w:t>
      </w:r>
    </w:p>
    <w:p w14:paraId="5C8292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анализ показывает, что мошенничество в кредитной сфере России является многогранной юридической проблемой, требующей детализированной квалификации и разделения от смежных правонарушений. По мере внесения изменений в УК РФ возникает необходимость в дальнейшем уточнении законодательства, что обуславливает усиление контроля за кредитными операциями и повышение ответственности за использование недостоверной информации.</w:t>
      </w:r>
    </w:p>
    <w:p w14:paraId="42D1B5A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023201C4">
      <w:pPr>
        <w:pStyle w:val="2"/>
        <w:spacing w:before="0" w:line="360" w:lineRule="auto"/>
        <w:jc w:val="center"/>
        <w:rPr>
          <w:rFonts w:ascii="Times New Roman" w:hAnsi="Times New Roman" w:cs="Times New Roman"/>
          <w:b/>
          <w:bCs/>
          <w:color w:val="auto"/>
          <w:sz w:val="28"/>
          <w:szCs w:val="28"/>
        </w:rPr>
      </w:pPr>
      <w:bookmarkStart w:id="7" w:name="_Toc189409723"/>
      <w:r>
        <w:rPr>
          <w:rFonts w:ascii="Times New Roman" w:hAnsi="Times New Roman" w:cs="Times New Roman"/>
          <w:b/>
          <w:bCs/>
          <w:color w:val="auto"/>
          <w:sz w:val="28"/>
          <w:szCs w:val="28"/>
        </w:rPr>
        <w:t>ЗАКЛЮ</w:t>
      </w:r>
      <w:bookmarkStart w:id="9" w:name="_GoBack"/>
      <w:bookmarkEnd w:id="9"/>
      <w:r>
        <w:rPr>
          <w:rFonts w:ascii="Times New Roman" w:hAnsi="Times New Roman" w:cs="Times New Roman"/>
          <w:b/>
          <w:bCs/>
          <w:color w:val="auto"/>
          <w:sz w:val="28"/>
          <w:szCs w:val="28"/>
        </w:rPr>
        <w:t>ЧЕНИЕ</w:t>
      </w:r>
      <w:bookmarkEnd w:id="7"/>
    </w:p>
    <w:p w14:paraId="37B21C09">
      <w:pPr>
        <w:rPr>
          <w:rFonts w:ascii="Times New Roman" w:hAnsi="Times New Roman" w:cs="Times New Roman"/>
          <w:sz w:val="28"/>
          <w:szCs w:val="28"/>
        </w:rPr>
      </w:pPr>
    </w:p>
    <w:p w14:paraId="598B3CF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заключение представлены основные выводы по актуальным проблемам и рекомендациям для совершенствования квалификации по теме исследования «Мошенничество в сфере кредитования».</w:t>
      </w:r>
    </w:p>
    <w:p w14:paraId="1BBDC761">
      <w:pPr>
        <w:spacing w:after="0" w:line="360" w:lineRule="auto"/>
        <w:ind w:firstLine="709"/>
        <w:jc w:val="both"/>
      </w:pPr>
      <w:r>
        <w:rPr>
          <w:rFonts w:ascii="Times New Roman" w:hAnsi="Times New Roman" w:cs="Times New Roman"/>
          <w:sz w:val="28"/>
          <w:szCs w:val="28"/>
        </w:rPr>
        <w:t xml:space="preserve">В доктрине уголовного права до сих пор остается дискуссионным вопрос, подпадает ли под действие ст. 159.1 УК РФ случаи, когда виновное лицо, имея намерение не возвращать кредит, обращается в банк, но при этом предоставляет достоверные сведения о себе и своем финансовом положении. </w:t>
      </w:r>
    </w:p>
    <w:p w14:paraId="5A9690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Представляется, что при квалификации случаев мошенничеств в сфере кредитования правоприменителю, в первую очередь, следует помнить, что это одна из форм хищения, которая в обязательном порядке должна содержать все признаки хищения, исходя из определения «хищения», содержащегося в примечании 1 к ст. 158 УК РФ. Кроме того, некоторые проблемные вопросы можно разрешить внеся, соответствующие дополнения в постановление Пленума Верховного Суда РФ, посвященному судебной практике по делам о мошенничестве, присвоении и растрате. </w:t>
      </w:r>
    </w:p>
    <w:p w14:paraId="78E927E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аргументацию отсутствия преступного умысла мошенники часто включают указание на частичное погашение кредита. Кроме того, они могут ссылаться на ухудшение своего материального положения как на обстоятельство, маскирующее наличие намерения нарушения.</w:t>
      </w:r>
    </w:p>
    <w:p w14:paraId="23AD29E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доказательство корыстного умысла возможно через подтверждение факта предоставления заведомо ложных сведений для получения кредита. Документы, содержащие недостоверную информацию о заработной плате, занимаемой должности, трудовом стаже и других аспектах финансового состояния заемщика, служат ключевыми элементами, подтверждающими наличие прямого умысла. Таким образом, наличие поддельных документов, недостоверной информации и умолчание о других кредитных обязательствах являются основными признаками, свидетельствующими о прямом умысле правонарушителя.</w:t>
      </w:r>
    </w:p>
    <w:p w14:paraId="452E54E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также заключается в том, что действующее законодательство, особенно статья 159 УК РФ, не всегда эффективно разграничивает мошенничество и законные действия в сфере кредитования, особенно в случаях сложных финансовых схем или использования ложной информации.</w:t>
      </w:r>
    </w:p>
    <w:p w14:paraId="46EA567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Предлагается усовершенствовать статью 159.1 УК РФ путем введения нового пункта о том, что умышленное предоставление заведомо ложной информации о своем финансовом положении при оформлении кредитов или займов, ведущее к выплате финансовых средств, рассматривается как мошенничество, независимо от наличия умысла на невозврат средств. Это обновление направлено на более эффективное преследование нарушений в кредитной деятельности и повышение ответственности заемщиков.</w:t>
      </w:r>
    </w:p>
    <w:p w14:paraId="2704F5B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то время как основная норма мошенничества по статье 159 УК РФ не охватывает использование доверительных отношений, мошенничество в сфере кредитования отличается. Это означает, что если обвиняемый не использует явно ложные данные, а лишь эксплуатирует доверие кредитора для получения кредита, то дело будет квалифицироваться по статье 159 УК РФ. Одной из серьезных проблем в квалификации мошенничества в сфере кредитования в России является отсутствие четкой законодательной базы для регулирования новых финансовых технологий и онлайн-кредитования. Это создает пробелы, которые мошенники используют для реализации схем, не полностью покрываемых действующими статьями УК РФ. Проблема проистекает из быстрого развития технологий и изменения методов кредитования, которые часто опережают законодательные инициативы. Например, практика онлайн-кредитования включает использование электронных платформ для получения и выдачи кредитов, что снижает физический контроль и возможность проверки документов и личности заемщика. Мошенники могут использовать украденные или фальсифицированные личные данные для получения кредитов на чужое имя, а также вводить в заблуждение кредитные организации относительно своих финансовых возможностей.</w:t>
      </w:r>
    </w:p>
    <w:p w14:paraId="0453547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решения проблемы отсутствия четкой законодательной базы в области онлайн-кредитования в России и уголовной квалификации связанных с этим мошенничеств можно обратиться к усовершенствованию существующих статей УК РФ, в частности статьи 159, которая регламентирует мошенничество. Эта статья предусматривает наказание за обман или злоупотребление доверием, но не полностью охватывает специфику мошенничества в сфере онлайн-кредитования, где основным инструментом являются цифровые технологии. Также статья 172 УК РФ, касающаяся незаконной банковской деятельности, может быть дополнена пунктами, регламентирующими специфику работы кредитных организаций в сети Интернет. Эти дополнения помогут ужесточить требования к верификации данных заемщиков и установить строгие рамки для использования персональных данных в целях кредитования.</w:t>
      </w:r>
    </w:p>
    <w:p w14:paraId="0BDAEF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Заслуживает внимания проблематика корректного выявления объекта мошенничества в сфере кредитования. Важно подчеркнуть, что данный объект может представлять собой исключительно финансовые активы. Однако на практике правонарушители оформляют кредитные средства с намерением приобрести активы, мгновенно конвертируя полученные средства в личное достояние. В таком контексте предметом преступления согласно статье 159.1 УК РФ является не приобретенное имущество, а денежные средства, указанные в кредитном договоре.</w:t>
      </w:r>
    </w:p>
    <w:p w14:paraId="692F79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современных условиях оформление кредита осуществляется с относительной легкостью, ведь банковские учреждения, стремясь выдержать конкуренцию, предлагают клиентам условия, максимально адаптированные под их потребности. Это приводит к тому, что зачастую происходит недостаточно глубокая проверка предоставляемых заемщиками документов, подтверждающих их финансовую состоятельность.</w:t>
      </w:r>
    </w:p>
    <w:p w14:paraId="5D4683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Ответственность банковских структур в ситуации, когда мошеннические действия в сфере кредитования становятся осуществимы, несомненно, имеет место. Неполное исследование документации и предоставленной информации со стороны заемщиков,</w:t>
      </w:r>
      <w:r>
        <w:t xml:space="preserve"> </w:t>
      </w:r>
      <w:r>
        <w:rPr>
          <w:rFonts w:ascii="Times New Roman" w:hAnsi="Times New Roman" w:cs="Times New Roman"/>
          <w:sz w:val="28"/>
          <w:szCs w:val="28"/>
        </w:rPr>
        <w:t>а также пренебрежение добросовестностью со стороны сотрудников банка часто служат основаниями возникновения возможностей для совершения правонарушений.</w:t>
      </w:r>
    </w:p>
    <w:p w14:paraId="7536C03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Итак, анализ представленной статьи показывает, что мошенничество в кредитной сфере России является многогранной юридической проблемой, требующей детализированной квалификации и разделения от смежных правонарушений. По мере внесения изменений в УК РФ возникает необходимость в дальнейшем уточнении законодательства, что обуславливает усиление контроля за кредитными операциями и повышение ответственности за использование недостоверной информации.</w:t>
      </w:r>
    </w:p>
    <w:p w14:paraId="537A5D9F">
      <w:pPr>
        <w:rPr>
          <w:rFonts w:ascii="Times New Roman" w:hAnsi="Times New Roman" w:cs="Times New Roman" w:eastAsiaTheme="majorEastAsia"/>
          <w:sz w:val="28"/>
          <w:szCs w:val="28"/>
        </w:rPr>
      </w:pPr>
      <w:r>
        <w:rPr>
          <w:rFonts w:ascii="Times New Roman" w:hAnsi="Times New Roman" w:cs="Times New Roman"/>
          <w:sz w:val="28"/>
          <w:szCs w:val="28"/>
        </w:rPr>
        <w:br w:type="page"/>
      </w:r>
    </w:p>
    <w:p w14:paraId="1866770E">
      <w:pPr>
        <w:pStyle w:val="2"/>
        <w:spacing w:before="0" w:line="360" w:lineRule="auto"/>
        <w:jc w:val="center"/>
        <w:rPr>
          <w:rFonts w:ascii="Times New Roman" w:hAnsi="Times New Roman" w:cs="Times New Roman"/>
          <w:b/>
          <w:bCs/>
          <w:color w:val="auto"/>
          <w:sz w:val="28"/>
          <w:szCs w:val="28"/>
        </w:rPr>
      </w:pPr>
      <w:bookmarkStart w:id="8" w:name="_Toc189409724"/>
      <w:r>
        <w:rPr>
          <w:rFonts w:ascii="Times New Roman" w:hAnsi="Times New Roman" w:cs="Times New Roman"/>
          <w:b/>
          <w:bCs/>
          <w:color w:val="auto"/>
          <w:sz w:val="28"/>
          <w:szCs w:val="28"/>
        </w:rPr>
        <w:t>СПИСОК ИСПОЛЬЗОВАННЫХ ИСТОЧНИКОВ</w:t>
      </w:r>
      <w:bookmarkEnd w:id="8"/>
    </w:p>
    <w:p w14:paraId="44C58860">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Нормативно-правовые акты</w:t>
      </w:r>
    </w:p>
    <w:p w14:paraId="70565149">
      <w:pPr>
        <w:pStyle w:val="18"/>
        <w:numPr>
          <w:ilvl w:val="0"/>
          <w:numId w:val="10"/>
        </w:numPr>
        <w:spacing w:after="0" w:line="360" w:lineRule="auto"/>
        <w:ind w:left="0" w:firstLine="709"/>
        <w:jc w:val="both"/>
        <w:rPr>
          <w:rFonts w:ascii="Times New Roman" w:hAnsi="Times New Roman" w:cs="Times New Roman" w:eastAsiaTheme="majorEastAsia"/>
          <w:sz w:val="28"/>
          <w:szCs w:val="28"/>
        </w:rPr>
      </w:pPr>
      <w:r>
        <w:rPr>
          <w:rFonts w:ascii="Times New Roman" w:hAnsi="Times New Roman" w:cs="Times New Roman" w:eastAsiaTheme="majorEastAsia"/>
          <w:sz w:val="28"/>
          <w:szCs w:val="28"/>
        </w:rPr>
        <w:t>Конституция (принята на всенародном голосовании 12 декабря 1993 г.) (в ред. от 1.07.2020 г.) // СЗ РФ. – 2014. – № 31. – Ст. 4398.</w:t>
      </w:r>
    </w:p>
    <w:p w14:paraId="77013464">
      <w:pPr>
        <w:pStyle w:val="18"/>
        <w:numPr>
          <w:ilvl w:val="0"/>
          <w:numId w:val="10"/>
        </w:numPr>
        <w:spacing w:after="0" w:line="360" w:lineRule="auto"/>
        <w:ind w:left="0" w:firstLine="709"/>
        <w:jc w:val="both"/>
        <w:rPr>
          <w:rFonts w:ascii="Times New Roman" w:hAnsi="Times New Roman" w:cs="Times New Roman" w:eastAsiaTheme="majorEastAsia"/>
          <w:color w:val="FF0000"/>
          <w:sz w:val="28"/>
          <w:szCs w:val="28"/>
        </w:rPr>
      </w:pPr>
      <w:r>
        <w:rPr>
          <w:rFonts w:ascii="Times New Roman" w:hAnsi="Times New Roman" w:cs="Times New Roman" w:eastAsiaTheme="majorEastAsia"/>
          <w:sz w:val="28"/>
          <w:szCs w:val="28"/>
        </w:rPr>
        <w:t>Уголовный кодекс Российской Федерации от 13 июня 1996 г. № 63-ФЗ (в ред. от 08.08.2024) // СЗ РФ. – 1996. – № 25. – Ст. 2954.</w:t>
      </w:r>
    </w:p>
    <w:p w14:paraId="4E2E3352">
      <w:pPr>
        <w:pStyle w:val="18"/>
        <w:numPr>
          <w:ilvl w:val="0"/>
          <w:numId w:val="10"/>
        </w:numPr>
        <w:spacing w:after="0" w:line="360" w:lineRule="auto"/>
        <w:ind w:left="0" w:firstLine="709"/>
        <w:jc w:val="both"/>
        <w:rPr>
          <w:rFonts w:ascii="Times New Roman" w:hAnsi="Times New Roman" w:cs="Times New Roman" w:eastAsiaTheme="majorEastAsia"/>
          <w:color w:val="FF0000"/>
          <w:sz w:val="28"/>
          <w:szCs w:val="28"/>
        </w:rPr>
      </w:pPr>
      <w:r>
        <w:rPr>
          <w:rFonts w:ascii="Times New Roman" w:hAnsi="Times New Roman" w:cs="Times New Roman"/>
          <w:sz w:val="28"/>
          <w:szCs w:val="28"/>
        </w:rPr>
        <w:t xml:space="preserve">Гражданский кодекс Российской Федерации. Часть 2. Принят 26 января 1996 года № 14-ФЗ // Собрание законодательства Российской Федерации. </w:t>
      </w:r>
      <w:r>
        <w:rPr>
          <w:rFonts w:ascii="Times New Roman" w:hAnsi="Times New Roman" w:cs="Times New Roman" w:eastAsiaTheme="majorEastAsia"/>
          <w:sz w:val="28"/>
          <w:szCs w:val="28"/>
        </w:rPr>
        <w:t xml:space="preserve">– </w:t>
      </w:r>
      <w:r>
        <w:rPr>
          <w:rFonts w:ascii="Times New Roman" w:hAnsi="Times New Roman" w:cs="Times New Roman"/>
          <w:sz w:val="28"/>
          <w:szCs w:val="28"/>
        </w:rPr>
        <w:t xml:space="preserve">1996. </w:t>
      </w:r>
      <w:r>
        <w:rPr>
          <w:rFonts w:ascii="Times New Roman" w:hAnsi="Times New Roman" w:cs="Times New Roman" w:eastAsiaTheme="majorEastAsia"/>
          <w:sz w:val="28"/>
          <w:szCs w:val="28"/>
        </w:rPr>
        <w:t xml:space="preserve">– </w:t>
      </w:r>
      <w:r>
        <w:rPr>
          <w:rFonts w:ascii="Times New Roman" w:hAnsi="Times New Roman" w:cs="Times New Roman"/>
          <w:sz w:val="28"/>
          <w:szCs w:val="28"/>
        </w:rPr>
        <w:t xml:space="preserve">№ 5. </w:t>
      </w:r>
      <w:r>
        <w:rPr>
          <w:rFonts w:ascii="Times New Roman" w:hAnsi="Times New Roman" w:cs="Times New Roman" w:eastAsiaTheme="majorEastAsia"/>
          <w:sz w:val="28"/>
          <w:szCs w:val="28"/>
        </w:rPr>
        <w:t xml:space="preserve">– </w:t>
      </w:r>
      <w:r>
        <w:rPr>
          <w:rFonts w:ascii="Times New Roman" w:hAnsi="Times New Roman" w:cs="Times New Roman"/>
          <w:sz w:val="28"/>
          <w:szCs w:val="28"/>
        </w:rPr>
        <w:t>Ст.410.</w:t>
      </w:r>
    </w:p>
    <w:p w14:paraId="4D3A3660">
      <w:pPr>
        <w:pStyle w:val="18"/>
        <w:numPr>
          <w:ilvl w:val="0"/>
          <w:numId w:val="10"/>
        </w:numPr>
        <w:spacing w:after="0" w:line="360" w:lineRule="auto"/>
        <w:ind w:left="0" w:firstLine="709"/>
        <w:jc w:val="both"/>
        <w:rPr>
          <w:rFonts w:ascii="Times New Roman" w:hAnsi="Times New Roman" w:cs="Times New Roman" w:eastAsiaTheme="majorEastAsia"/>
          <w:color w:val="FF0000"/>
          <w:sz w:val="28"/>
          <w:szCs w:val="28"/>
        </w:rPr>
      </w:pPr>
      <w:r>
        <w:rPr>
          <w:rFonts w:ascii="Times New Roman" w:hAnsi="Times New Roman" w:cs="Times New Roman"/>
          <w:sz w:val="28"/>
          <w:szCs w:val="28"/>
        </w:rPr>
        <w:t xml:space="preserve">О потребительском кредите (займе): федеральный закон от 21 декабря 2013 года № 353-ФЗ (в ред. от 22.06.2024 года) // Собрание законодательства РФ. </w:t>
      </w:r>
      <w:r>
        <w:rPr>
          <w:rFonts w:ascii="Times New Roman" w:hAnsi="Times New Roman" w:cs="Times New Roman" w:eastAsiaTheme="majorEastAsia"/>
          <w:sz w:val="28"/>
          <w:szCs w:val="28"/>
        </w:rPr>
        <w:t xml:space="preserve">– </w:t>
      </w:r>
      <w:r>
        <w:rPr>
          <w:rFonts w:ascii="Times New Roman" w:hAnsi="Times New Roman" w:cs="Times New Roman"/>
          <w:sz w:val="28"/>
          <w:szCs w:val="28"/>
        </w:rPr>
        <w:t xml:space="preserve">2013. </w:t>
      </w:r>
      <w:r>
        <w:rPr>
          <w:rFonts w:ascii="Times New Roman" w:hAnsi="Times New Roman" w:cs="Times New Roman" w:eastAsiaTheme="majorEastAsia"/>
          <w:sz w:val="28"/>
          <w:szCs w:val="28"/>
        </w:rPr>
        <w:t xml:space="preserve">– </w:t>
      </w:r>
      <w:r>
        <w:rPr>
          <w:rFonts w:ascii="Times New Roman" w:hAnsi="Times New Roman" w:cs="Times New Roman"/>
          <w:sz w:val="28"/>
          <w:szCs w:val="28"/>
        </w:rPr>
        <w:t xml:space="preserve">№ 51. </w:t>
      </w:r>
      <w:r>
        <w:rPr>
          <w:rFonts w:ascii="Times New Roman" w:hAnsi="Times New Roman" w:cs="Times New Roman" w:eastAsiaTheme="majorEastAsia"/>
          <w:sz w:val="28"/>
          <w:szCs w:val="28"/>
        </w:rPr>
        <w:t xml:space="preserve">– </w:t>
      </w:r>
      <w:r>
        <w:rPr>
          <w:rFonts w:ascii="Times New Roman" w:hAnsi="Times New Roman" w:cs="Times New Roman"/>
          <w:sz w:val="28"/>
          <w:szCs w:val="28"/>
        </w:rPr>
        <w:t>Ст. 6673.</w:t>
      </w:r>
    </w:p>
    <w:p w14:paraId="5A9F30AF">
      <w:pPr>
        <w:spacing w:after="0" w:line="360" w:lineRule="auto"/>
        <w:jc w:val="center"/>
        <w:rPr>
          <w:rFonts w:ascii="Times New Roman" w:hAnsi="Times New Roman" w:cs="Times New Roman" w:eastAsiaTheme="majorEastAsia"/>
          <w:b/>
          <w:bCs/>
          <w:sz w:val="28"/>
          <w:szCs w:val="28"/>
        </w:rPr>
      </w:pPr>
      <w:r>
        <w:rPr>
          <w:rFonts w:ascii="Times New Roman" w:hAnsi="Times New Roman" w:cs="Times New Roman" w:eastAsiaTheme="majorEastAsia"/>
          <w:b/>
          <w:bCs/>
          <w:sz w:val="28"/>
          <w:szCs w:val="28"/>
        </w:rPr>
        <w:t>Учебная и научная литература</w:t>
      </w:r>
    </w:p>
    <w:p w14:paraId="14A1B913">
      <w:pPr>
        <w:pStyle w:val="18"/>
        <w:numPr>
          <w:ilvl w:val="0"/>
          <w:numId w:val="10"/>
        </w:numPr>
        <w:spacing w:after="0" w:line="360" w:lineRule="auto"/>
        <w:ind w:left="0" w:firstLine="709"/>
        <w:jc w:val="both"/>
        <w:rPr>
          <w:rFonts w:ascii="Times New Roman" w:hAnsi="Times New Roman" w:cs="Times New Roman" w:eastAsiaTheme="majorEastAsia"/>
          <w:sz w:val="28"/>
          <w:szCs w:val="28"/>
        </w:rPr>
      </w:pPr>
      <w:r>
        <w:rPr>
          <w:rFonts w:ascii="Times New Roman" w:hAnsi="Times New Roman" w:cs="Times New Roman" w:eastAsiaTheme="majorEastAsia"/>
          <w:sz w:val="28"/>
          <w:szCs w:val="28"/>
        </w:rPr>
        <w:t>Ардашев В. Г. Преступления в сфере кредитования: комментарий к ст. 159.1 УК РФ / В.Г. Ардашев. – М.: Юрайт, 2020. – 312 с.</w:t>
      </w:r>
    </w:p>
    <w:p w14:paraId="48C79B27">
      <w:pPr>
        <w:pStyle w:val="18"/>
        <w:numPr>
          <w:ilvl w:val="0"/>
          <w:numId w:val="10"/>
        </w:numPr>
        <w:spacing w:after="0" w:line="360" w:lineRule="auto"/>
        <w:ind w:left="0" w:firstLine="709"/>
        <w:jc w:val="both"/>
        <w:rPr>
          <w:rFonts w:ascii="Times New Roman" w:hAnsi="Times New Roman" w:cs="Times New Roman" w:eastAsiaTheme="majorEastAsia"/>
          <w:sz w:val="28"/>
          <w:szCs w:val="28"/>
        </w:rPr>
      </w:pPr>
      <w:r>
        <w:rPr>
          <w:rFonts w:ascii="Times New Roman" w:hAnsi="Times New Roman" w:cs="Times New Roman" w:eastAsiaTheme="majorEastAsia"/>
          <w:sz w:val="28"/>
          <w:szCs w:val="28"/>
        </w:rPr>
        <w:t>Борисов А. Н. Уголовно-правовое регулирование ответственности за мошенничество в сфере кредитования / А.Н. Борисов. – СПб.: Проспект, 2022. – 258 с.</w:t>
      </w:r>
    </w:p>
    <w:p w14:paraId="61261104">
      <w:pPr>
        <w:pStyle w:val="18"/>
        <w:numPr>
          <w:ilvl w:val="0"/>
          <w:numId w:val="10"/>
        </w:numPr>
        <w:spacing w:after="0" w:line="360" w:lineRule="auto"/>
        <w:ind w:left="0" w:firstLine="709"/>
        <w:jc w:val="both"/>
        <w:rPr>
          <w:rFonts w:ascii="Times New Roman" w:hAnsi="Times New Roman" w:cs="Times New Roman" w:eastAsiaTheme="majorEastAsia"/>
          <w:sz w:val="28"/>
          <w:szCs w:val="28"/>
        </w:rPr>
      </w:pPr>
      <w:r>
        <w:rPr>
          <w:rFonts w:ascii="Times New Roman" w:hAnsi="Times New Roman" w:cs="Times New Roman" w:eastAsiaTheme="majorEastAsia"/>
          <w:sz w:val="28"/>
          <w:szCs w:val="28"/>
        </w:rPr>
        <w:t>Петухов В. С. Мошенничество и иные преступления против собственности: вопросы теории и практики / В.С. Петухов – Екатеринбург: Юридическая литература, 2021. – 276 с.</w:t>
      </w:r>
    </w:p>
    <w:p w14:paraId="6C4710A7">
      <w:pPr>
        <w:pStyle w:val="18"/>
        <w:numPr>
          <w:ilvl w:val="0"/>
          <w:numId w:val="10"/>
        </w:numPr>
        <w:spacing w:after="0" w:line="360" w:lineRule="auto"/>
        <w:ind w:left="0" w:firstLine="709"/>
        <w:jc w:val="both"/>
        <w:rPr>
          <w:rFonts w:ascii="Times New Roman" w:hAnsi="Times New Roman" w:cs="Times New Roman" w:eastAsiaTheme="majorEastAsia"/>
          <w:sz w:val="28"/>
          <w:szCs w:val="28"/>
        </w:rPr>
      </w:pPr>
      <w:r>
        <w:rPr>
          <w:rFonts w:ascii="Times New Roman" w:hAnsi="Times New Roman" w:cs="Times New Roman" w:eastAsiaTheme="majorEastAsia"/>
          <w:sz w:val="28"/>
          <w:szCs w:val="28"/>
        </w:rPr>
        <w:t>Седов А. А., Лебедев В. И. Уголовно-правовые аспекты борьбы с мошенничеством / А.А. Седов, В.И. Лебедев. – Казань: Инфинитум, 2023. – 192 с.</w:t>
      </w:r>
    </w:p>
    <w:p w14:paraId="735CB974">
      <w:pPr>
        <w:spacing w:after="0" w:line="360" w:lineRule="auto"/>
        <w:jc w:val="center"/>
        <w:rPr>
          <w:rFonts w:ascii="Times New Roman" w:hAnsi="Times New Roman" w:cs="Times New Roman" w:eastAsiaTheme="majorEastAsia"/>
          <w:b/>
          <w:bCs/>
          <w:sz w:val="28"/>
          <w:szCs w:val="28"/>
        </w:rPr>
      </w:pPr>
      <w:r>
        <w:rPr>
          <w:rFonts w:ascii="Times New Roman" w:hAnsi="Times New Roman" w:cs="Times New Roman" w:eastAsiaTheme="majorEastAsia"/>
          <w:b/>
          <w:bCs/>
          <w:sz w:val="28"/>
          <w:szCs w:val="28"/>
        </w:rPr>
        <w:t>Публикации в научных журналах, сборниках и СМИ</w:t>
      </w:r>
    </w:p>
    <w:p w14:paraId="797CA668">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Агишева Д. С. Мошенничество в сфере кредитования как новый вид преступления / Д.С. Агишева // Вестник науки. – 2024. – Т. 2. – № 4 (73). – С. 203-207.</w:t>
      </w:r>
    </w:p>
    <w:p w14:paraId="4BD31C67">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Гаибназарзода П. А. К вопросу о социально-правовой обусловленности уголовной ответственности за мошенничество в сфере кредитования / П.А. Гаибназарзода // Криминологический журнал. – 2023. – № 3. – С. 46-48.</w:t>
      </w:r>
    </w:p>
    <w:p w14:paraId="5975A41B">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Дятлов Г. А. Проблемы квалификации мошенничества в сфере кредитования / Г. А. Дятлов // Общество, право, государственность: ретроспектива и перспектива. – 2024. – № 4(20). – С. 61-66.</w:t>
      </w:r>
    </w:p>
    <w:p w14:paraId="54D23A0B">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Керопян Ю. П. Проблемы квалификации мошенничества / Ю.П. Керопян // Юридический факт. – 2020. – № 92. – С. 30-32.</w:t>
      </w:r>
    </w:p>
    <w:p w14:paraId="6288E5CC">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Кондратьева Е. В. Проблемы квалификации мошенничества в сфере кредитования / Е.В. Кондратьева // Актуальные вопросы современной науки и образования. – 2020. – С. 97-99.</w:t>
      </w:r>
    </w:p>
    <w:p w14:paraId="059C99E6">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Левашова Д. М. Проблемы квалификации мошенничества в сфере кредитования и пути их решения / Д.М. Левашова // Юридическая наука в XXI веке: актуальные проблемы и перспективы их решений : сборник научных статей по итогам работы четвертого круглого стола со Всероссийским и международным участием. – Шахты, 2020. – С. 136-138.</w:t>
      </w:r>
    </w:p>
    <w:p w14:paraId="44F85024">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Люев Р. М. Некоторые вопросы квалификации мошенничества: сфера кредитования / Р.М. Люев // Пробелы в российском законодательстве. Юридический журнал. – 2020. – № 4. – С. 371-373.</w:t>
      </w:r>
    </w:p>
    <w:p w14:paraId="2ED49D4A">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Манукян А.Р. К вопросу о предупреждении мошенничества в сфере кредитования / А.Р. Манукян // Проблемы экономики и юридической практики. – 2021. – Т. 17, № 3. – С. 314-317.</w:t>
      </w:r>
    </w:p>
    <w:p w14:paraId="3217E07C">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Мирончик А. С. Некоторые проблемы квалификации мошенничества в сфере кредитования / А. С. Мирончик // Енисейские политико-правовые чтения : сборник научных статей по материалам XV Всероссийской научно-практической конференции, Красноярск, 29–30 сентября 2023 года. – Красноярск: Красноярская региональная общественная организация «Общественный комитет по защите прав человека», 2023. – С. 257-261.</w:t>
      </w:r>
    </w:p>
    <w:p w14:paraId="44537393">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Мурсалимов А. Т. Мошенничество в сфере кредитования: новация или ошибка законодателя / А.Т. Мурсалимов // StudNet. – 2020. – Т. 3. – № 10. – С. 10-12.</w:t>
      </w:r>
    </w:p>
    <w:p w14:paraId="20382D6E">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Петрякова Л. А. Проблемы квалификации мошенничества в банковской сфере / Л.А. Петрякова // Сибирский юридический вестник. – 2020. – № 3 (90). – С. 80-84.</w:t>
      </w:r>
    </w:p>
    <w:p w14:paraId="10D3D106">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Помнина С. Н. К вопросу о субъекте мошенничества в сфере кредитования / С. Н. Помнина // Проблемы экономики и юридической практики. – 2019. – Т. 15, № 5. – С. 273-276.</w:t>
      </w:r>
    </w:p>
    <w:p w14:paraId="3BA45023">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Сабитов Р. А. Проблемы квалификации мошенничества в сфере кредитования / Р. А. Сабитов, С. Н. Жаров, В. В. Денисович // Проблемы экономики и юридической практики. – 2022. – Т. 18, № 6. – С. 155-158.</w:t>
      </w:r>
    </w:p>
    <w:p w14:paraId="5624A723">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Савченко М. М. К вопросу о квалификации мошенничества в сфере кредитования / М.М. Савченко // Вестник Уфимского юридического института МВД России. – 2022. – № 2 (96). – С. 82-87.</w:t>
      </w:r>
    </w:p>
    <w:p w14:paraId="612430CC">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Серебрякова Т. А. Мошенничество в кредитно-финансовой сфере: проблемы квалификации / Т.А. Серебрякова // Парадигма. – 2021. – № 1. – С. 43-48.</w:t>
      </w:r>
    </w:p>
    <w:p w14:paraId="11372940">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Середа И. М. Незаконное получение кредита и мошенничество в сфере кредитования: некоторые проблемы квалификации / И.М. Середа // Актуальные проблемы борьбы с преступностью: вопросы теории и практики : материалы XХV международной научно-практической конференции. В 2-х частях. – Часть 1. Красоярск, 2022. – С. 134-136.</w:t>
      </w:r>
    </w:p>
    <w:p w14:paraId="28EEF987">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Храмцова С. Н. Мошенничество в сфере кредитования / С.Н. Храмцова // Вестник науки. – 2022. – Т. 3. – № 12 (57). – С. 334-337.</w:t>
      </w:r>
    </w:p>
    <w:p w14:paraId="0ED7C788">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Щербакова Д. П. Современные проблемы квалификации мошенничества / Д.П. Щербакова // Модели и методы повышения эффективности инновационных исследований : сборник статей Международной научно-практической конференции. – Уфа, 2022. – С. 144-147.</w:t>
      </w:r>
    </w:p>
    <w:p w14:paraId="3A5A1170">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Шупрунов С. И. Отграничения мошенничества в сфере кредитования (ст. 1591 УК РФ) от незаконного получения кредита (ст. 176 УК РФ) и проблемы квалификации / С.Н. Шупрунов // Проблемы становления гражданского общества : сборник статей VIII Международной научной студенческой конференции. – Том Часть III. – Иркутск, 2020. – С. 126-129.</w:t>
      </w:r>
    </w:p>
    <w:p w14:paraId="4268A14E">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Источники на электронных носителях</w:t>
      </w:r>
    </w:p>
    <w:p w14:paraId="4D895C61">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 судебной практике по делам о мошенничестве, присвоении и растрате : постановление Пленума Верховного Суда РФ от 30.11.2017 № 48 // Бюллетень Верховного Суда РФ. – 2018. – № 2.</w:t>
      </w:r>
    </w:p>
    <w:p w14:paraId="3CF7FB6B">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Приговор Курганского городского суда г. Курган от 07.10.2016 №1-830/2016 // Интернет-ресурс Судебные и нормативные акты РФ (СудАкт). – Режим доступа: </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Pr>
          <w:rFonts w:ascii="Times New Roman" w:hAnsi="Times New Roman" w:cs="Times New Roman"/>
          <w:sz w:val="28"/>
          <w:szCs w:val="28"/>
        </w:rPr>
        <w:t>.</w:t>
      </w:r>
      <w:r>
        <w:rPr>
          <w:rFonts w:ascii="Times New Roman" w:hAnsi="Times New Roman" w:cs="Times New Roman"/>
          <w:sz w:val="28"/>
          <w:szCs w:val="28"/>
          <w:lang w:val="en-US"/>
        </w:rPr>
        <w:t>sudact</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w:t>
      </w:r>
    </w:p>
    <w:p w14:paraId="37C8E967">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Приговор Индустриального суда г. Барнаула от 23.09.2017 г. №106026 // Интернет-ресурс Судебные и нормативные акты РФ (СудАкт). – Режим доступа: </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Pr>
          <w:rFonts w:ascii="Times New Roman" w:hAnsi="Times New Roman" w:cs="Times New Roman"/>
          <w:sz w:val="28"/>
          <w:szCs w:val="28"/>
        </w:rPr>
        <w:t>.</w:t>
      </w:r>
      <w:r>
        <w:rPr>
          <w:rFonts w:ascii="Times New Roman" w:hAnsi="Times New Roman" w:cs="Times New Roman"/>
          <w:sz w:val="28"/>
          <w:szCs w:val="28"/>
          <w:lang w:val="en-US"/>
        </w:rPr>
        <w:t>sudact</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w:t>
      </w:r>
    </w:p>
    <w:p w14:paraId="7C5DD002">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Приговор Советского районного суда г. Уфы от 15.08.2017 г. №1-436/2017 // Интернет-ресурс Судебные и нормативные акты РФ (СудАкт). – Режим доступа: </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Pr>
          <w:rFonts w:ascii="Times New Roman" w:hAnsi="Times New Roman" w:cs="Times New Roman"/>
          <w:sz w:val="28"/>
          <w:szCs w:val="28"/>
        </w:rPr>
        <w:t>.</w:t>
      </w:r>
      <w:r>
        <w:rPr>
          <w:rFonts w:ascii="Times New Roman" w:hAnsi="Times New Roman" w:cs="Times New Roman"/>
          <w:sz w:val="28"/>
          <w:szCs w:val="28"/>
          <w:lang w:val="en-US"/>
        </w:rPr>
        <w:t>sudact</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w:t>
      </w:r>
    </w:p>
    <w:p w14:paraId="68291E9D">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Приговор Советского районного суда г. Красноярска от 07.02.2018 г. №1-111/2018 // Интернет-ресурс Судебные и нормативные акты РФ (СудАкт). – Режим доступа: </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Pr>
          <w:rFonts w:ascii="Times New Roman" w:hAnsi="Times New Roman" w:cs="Times New Roman"/>
          <w:sz w:val="28"/>
          <w:szCs w:val="28"/>
        </w:rPr>
        <w:t>.</w:t>
      </w:r>
      <w:r>
        <w:rPr>
          <w:rFonts w:ascii="Times New Roman" w:hAnsi="Times New Roman" w:cs="Times New Roman"/>
          <w:sz w:val="28"/>
          <w:szCs w:val="28"/>
          <w:lang w:val="en-US"/>
        </w:rPr>
        <w:t>sudact</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w:t>
      </w:r>
    </w:p>
    <w:p w14:paraId="0E05746B">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Приговор Ханты-Мансийского автономного округа г. Югры от 23.04.2020 г. №1-8-2321/2020 // Интернет-ресурс Судебные и нормативные акты РФ (СудАкт). – Режим доступа: </w:t>
      </w:r>
      <w:r>
        <w:rPr>
          <w:rFonts w:ascii="Times New Roman" w:hAnsi="Times New Roman" w:cs="Times New Roman"/>
          <w:sz w:val="28"/>
          <w:szCs w:val="28"/>
          <w:lang w:val="en-US"/>
        </w:rPr>
        <w:t>http</w:t>
      </w:r>
      <w:r>
        <w:rPr>
          <w:rFonts w:ascii="Times New Roman" w:hAnsi="Times New Roman" w:cs="Times New Roman"/>
          <w:sz w:val="28"/>
          <w:szCs w:val="28"/>
        </w:rPr>
        <w:t>://</w:t>
      </w:r>
      <w:r>
        <w:rPr>
          <w:rFonts w:ascii="Times New Roman" w:hAnsi="Times New Roman" w:cs="Times New Roman"/>
          <w:sz w:val="28"/>
          <w:szCs w:val="28"/>
          <w:lang w:val="en-US"/>
        </w:rPr>
        <w:t>www</w:t>
      </w:r>
      <w:r>
        <w:rPr>
          <w:rFonts w:ascii="Times New Roman" w:hAnsi="Times New Roman" w:cs="Times New Roman"/>
          <w:sz w:val="28"/>
          <w:szCs w:val="28"/>
        </w:rPr>
        <w:t>.</w:t>
      </w:r>
      <w:r>
        <w:rPr>
          <w:rFonts w:ascii="Times New Roman" w:hAnsi="Times New Roman" w:cs="Times New Roman"/>
          <w:sz w:val="28"/>
          <w:szCs w:val="28"/>
          <w:lang w:val="en-US"/>
        </w:rPr>
        <w:t>sudact</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w:t>
      </w:r>
    </w:p>
    <w:p w14:paraId="3DEEF53A">
      <w:pPr>
        <w:pStyle w:val="18"/>
        <w:numPr>
          <w:ilvl w:val="0"/>
          <w:numId w:val="10"/>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Яни, П.С. Пленум Верховного суда обсудил «цифровые» мошенничества. –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URL</w:instrText>
      </w:r>
      <w:r>
        <w:rPr>
          <w:rFonts w:ascii="Times New Roman" w:hAnsi="Times New Roman" w:cs="Times New Roman"/>
          <w:sz w:val="28"/>
          <w:szCs w:val="28"/>
        </w:rPr>
        <w:fldChar w:fldCharType="end"/>
      </w:r>
      <w:r>
        <w:rPr>
          <w:rFonts w:ascii="Times New Roman" w:hAnsi="Times New Roman" w:cs="Times New Roman"/>
          <w:sz w:val="28"/>
          <w:szCs w:val="28"/>
        </w:rPr>
        <w:t xml:space="preserve">: https://pravo.ru/ (дата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eq обращения</w:instrText>
      </w:r>
      <w:r>
        <w:rPr>
          <w:rFonts w:ascii="Times New Roman" w:hAnsi="Times New Roman" w:cs="Times New Roman"/>
          <w:sz w:val="28"/>
          <w:szCs w:val="28"/>
        </w:rPr>
        <w:fldChar w:fldCharType="end"/>
      </w:r>
      <w:r>
        <w:rPr>
          <w:rFonts w:ascii="Times New Roman" w:hAnsi="Times New Roman" w:cs="Times New Roman"/>
          <w:sz w:val="28"/>
          <w:szCs w:val="28"/>
        </w:rPr>
        <w:t>: 10.01.2025).</w:t>
      </w:r>
    </w:p>
    <w:sectPr>
      <w:footerReference r:id="rId10" w:type="first"/>
      <w:footerReference r:id="rId9" w:type="default"/>
      <w:footnotePr>
        <w:numFmt w:val="decimal"/>
        <w:numRestart w:val="eachPage"/>
      </w:footnotePr>
      <w:pgSz w:w="11906" w:h="16838"/>
      <w:pgMar w:top="1134" w:right="850" w:bottom="1134" w:left="1701" w:header="708" w:footer="708" w:gutter="0"/>
      <w:pgNumType w:start="5"/>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0349127"/>
      <w:docPartObj>
        <w:docPartGallery w:val="autotext"/>
      </w:docPartObj>
    </w:sdtPr>
    <w:sdtEndPr>
      <w:rPr>
        <w:rFonts w:ascii="Times New Roman" w:hAnsi="Times New Roman" w:cs="Times New Roman"/>
        <w:sz w:val="24"/>
        <w:szCs w:val="24"/>
      </w:rPr>
    </w:sdtEndPr>
    <w:sdtContent>
      <w:p w14:paraId="55A76C10">
        <w:pPr>
          <w:pStyle w:val="1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04ED2D4F">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B7A1C">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0323"/>
      <w:docPartObj>
        <w:docPartGallery w:val="autotext"/>
      </w:docPartObj>
    </w:sdtPr>
    <w:sdtEndPr>
      <w:rPr>
        <w:rFonts w:ascii="Times New Roman" w:hAnsi="Times New Roman" w:cs="Times New Roman"/>
        <w:sz w:val="22"/>
        <w:szCs w:val="22"/>
      </w:rPr>
    </w:sdtEndPr>
    <w:sdtContent>
      <w:p w14:paraId="753E4BFC">
        <w:pPr>
          <w:pStyle w:val="13"/>
          <w:jc w:val="center"/>
          <w:rPr>
            <w:rFonts w:ascii="Times New Roman" w:hAnsi="Times New Roman" w:cs="Times New Roman"/>
            <w:sz w:val="22"/>
            <w:szCs w:val="22"/>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PAGE   \* MERGEFORMAT</w:instrText>
        </w:r>
        <w:r>
          <w:rPr>
            <w:rFonts w:ascii="Times New Roman" w:hAnsi="Times New Roman" w:cs="Times New Roman"/>
            <w:sz w:val="22"/>
            <w:szCs w:val="22"/>
          </w:rPr>
          <w:fldChar w:fldCharType="separate"/>
        </w:r>
        <w:r>
          <w:rPr>
            <w:rFonts w:ascii="Times New Roman" w:hAnsi="Times New Roman" w:cs="Times New Roman"/>
            <w:sz w:val="22"/>
            <w:szCs w:val="22"/>
          </w:rPr>
          <w:t>2</w:t>
        </w:r>
        <w:r>
          <w:rPr>
            <w:rFonts w:ascii="Times New Roman" w:hAnsi="Times New Roman" w:cs="Times New Roman"/>
            <w:sz w:val="22"/>
            <w:szCs w:val="22"/>
          </w:rPr>
          <w:fldChar w:fldCharType="end"/>
        </w:r>
      </w:p>
    </w:sdtContent>
  </w:sdt>
  <w:p w14:paraId="27AE68B5">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4D9FF">
    <w:pPr>
      <w:pStyle w:val="13"/>
      <w:jc w:val="center"/>
      <w:rPr>
        <w:rFonts w:hint="default"/>
        <w:lang w:val="ru-RU"/>
      </w:rPr>
    </w:pPr>
    <w:r>
      <w:rPr>
        <w:rFonts w:hint="default"/>
        <w:lang w:val="ru-RU"/>
      </w:rPr>
      <w:t>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pPr>
        <w:spacing w:before="0" w:after="0" w:line="259" w:lineRule="auto"/>
      </w:pPr>
      <w:r>
        <w:separator/>
      </w:r>
    </w:p>
  </w:footnote>
  <w:footnote w:type="continuationSeparator" w:id="39">
    <w:p>
      <w:pPr>
        <w:spacing w:before="0" w:after="0" w:line="259" w:lineRule="auto"/>
      </w:pPr>
      <w:r>
        <w:continuationSeparator/>
      </w:r>
    </w:p>
  </w:footnote>
  <w:footnote w:id="0">
    <w:p w14:paraId="5A5C3B8E">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Конституция (принята на всенародном голосовании 12 декабря 1993 г.) (в ред. от 1.07.2020 г.) // СЗ РФ. – 2014. – № 31. – Ст. 4398.</w:t>
      </w:r>
    </w:p>
  </w:footnote>
  <w:footnote w:id="1">
    <w:p w14:paraId="4260F472">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Гражданский кодекс Российской Федерации. Часть 2. Принят 26 января 1996 года № 14-ФЗ // Собрание законодательства Российской Федерации. – 1996. – № 5. – Ст.410.</w:t>
      </w:r>
    </w:p>
  </w:footnote>
  <w:footnote w:id="2">
    <w:p w14:paraId="26AAFFA8">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Дятлов Г. А. Проблемы квалификации мошенничества в сфере кредитования // Общество, право, государственность: ретроспектива и перспектива. – 2024. – № 4(20). – С. 61-66.</w:t>
      </w:r>
    </w:p>
  </w:footnote>
  <w:footnote w:id="3">
    <w:p w14:paraId="73BEB75A">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Савченко М. М. К вопросу о квалификации мошенничества в сфере кредитования // Вестник Уфимского юридического института МВД России. – 2022. – № 2 (96). – С. 82-87.</w:t>
      </w:r>
    </w:p>
  </w:footnote>
  <w:footnote w:id="4">
    <w:p w14:paraId="3D5E5471">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Борисов А. Н. Уголовно-правовое регулирование ответственности за мошенничество в сфере кредитования. – СПб.: Проспект, 2022. – </w:t>
      </w:r>
      <w:r>
        <w:rPr>
          <w:lang w:val="en-US"/>
        </w:rPr>
        <w:t>C</w:t>
      </w:r>
      <w:r>
        <w:t>. 110.</w:t>
      </w:r>
    </w:p>
  </w:footnote>
  <w:footnote w:id="5">
    <w:p w14:paraId="5CED5938">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Люев Р. М. Некоторые вопросы квалификации мошенничества: сфера кредитования // Пробелы в российском законодательстве. Юридический журнал. – 2020. – № 4. – С. 371-373.</w:t>
      </w:r>
    </w:p>
  </w:footnote>
  <w:footnote w:id="6">
    <w:p w14:paraId="320398C1">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Петрякова Л. А. Проблемы квалификации мошенничества в банковской сфере // Сибирский юридический вестник. – 2020. – № 3 (90). – С. 80-84.</w:t>
      </w:r>
    </w:p>
  </w:footnote>
  <w:footnote w:id="7">
    <w:p w14:paraId="148FE370">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Кондратьева Е. В. Проблемы квалификации мошенничества в сфере кредитования // Актуальные вопросы современной науки и образования. – 2020. – С. 97-99.</w:t>
      </w:r>
    </w:p>
  </w:footnote>
  <w:footnote w:id="8">
    <w:p w14:paraId="11AA64F8">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Храмцова С. Н. Мошенничество в сфере кредитования // Вестник науки. – 2022. – Т. 3. – № 12 (57). – С. 334-337.</w:t>
      </w:r>
    </w:p>
  </w:footnote>
  <w:footnote w:id="9">
    <w:p w14:paraId="500AD2D1">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Агишева Д. С. Мошенничество в сфере кредитования как новый вид преступления // Вестник науки. – 2024. – Т. 2. – № 4 (73). – С. 203-207.</w:t>
      </w:r>
    </w:p>
  </w:footnote>
  <w:footnote w:id="10">
    <w:p w14:paraId="0BDE94DA">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О потребительском кредите (займе): федеральный закон от 21 декабря 2013 года № 353-ФЗ (в ред. от 22.06.2024 года) // Собрание законодательства РФ. – 2013. – № 51. – Ст. 6673.</w:t>
      </w:r>
    </w:p>
  </w:footnote>
  <w:footnote w:id="11">
    <w:p w14:paraId="13482C57">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Приговор Курганского городского суда г. Курган от 07.10.2016 №1-830/2016 // Интернет-ресурс Судебные и нормативные акты РФ (СудАкт). – Режим доступа: </w:t>
      </w:r>
      <w:r>
        <w:rPr>
          <w:lang w:val="en-US"/>
        </w:rPr>
        <w:t>http</w:t>
      </w:r>
      <w:r>
        <w:t>://</w:t>
      </w:r>
      <w:r>
        <w:rPr>
          <w:lang w:val="en-US"/>
        </w:rPr>
        <w:t>www</w:t>
      </w:r>
      <w:r>
        <w:t>.</w:t>
      </w:r>
      <w:r>
        <w:rPr>
          <w:lang w:val="en-US"/>
        </w:rPr>
        <w:t>sudact</w:t>
      </w:r>
      <w:r>
        <w:t>.</w:t>
      </w:r>
      <w:r>
        <w:rPr>
          <w:lang w:val="en-US"/>
        </w:rPr>
        <w:t>ru</w:t>
      </w:r>
      <w:r>
        <w:t>.</w:t>
      </w:r>
    </w:p>
  </w:footnote>
  <w:footnote w:id="12">
    <w:p w14:paraId="6BC79693">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Приговор Индустриального суда г. Барнаула от 23.09.2017 г. №106026 // Интернет-ресурс Судебные и нормативные акты РФ (СудАкт). – Режим доступа: </w:t>
      </w:r>
      <w:r>
        <w:rPr>
          <w:lang w:val="en-US"/>
        </w:rPr>
        <w:t>http</w:t>
      </w:r>
      <w:r>
        <w:t>://</w:t>
      </w:r>
      <w:r>
        <w:rPr>
          <w:lang w:val="en-US"/>
        </w:rPr>
        <w:t>www</w:t>
      </w:r>
      <w:r>
        <w:t>.</w:t>
      </w:r>
      <w:r>
        <w:rPr>
          <w:lang w:val="en-US"/>
        </w:rPr>
        <w:t>sudact</w:t>
      </w:r>
      <w:r>
        <w:t>.</w:t>
      </w:r>
      <w:r>
        <w:rPr>
          <w:lang w:val="en-US"/>
        </w:rPr>
        <w:t>ru</w:t>
      </w:r>
      <w:r>
        <w:t>.</w:t>
      </w:r>
    </w:p>
  </w:footnote>
  <w:footnote w:id="13">
    <w:p w14:paraId="7DBE04F6">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Приговор Советского районного суда г. Уфы от 15.08.2017 г. №1-436/2017 // Интернет-ресурс Судебные и нормативные акты РФ (СудАкт). – Режим доступа: </w:t>
      </w:r>
      <w:r>
        <w:rPr>
          <w:lang w:val="en-US"/>
        </w:rPr>
        <w:t>http</w:t>
      </w:r>
      <w:r>
        <w:t>://</w:t>
      </w:r>
      <w:r>
        <w:rPr>
          <w:lang w:val="en-US"/>
        </w:rPr>
        <w:t>www</w:t>
      </w:r>
      <w:r>
        <w:t>.</w:t>
      </w:r>
      <w:r>
        <w:rPr>
          <w:lang w:val="en-US"/>
        </w:rPr>
        <w:t>sudact</w:t>
      </w:r>
      <w:r>
        <w:t>.</w:t>
      </w:r>
      <w:r>
        <w:rPr>
          <w:lang w:val="en-US"/>
        </w:rPr>
        <w:t>ru</w:t>
      </w:r>
      <w:r>
        <w:t>.</w:t>
      </w:r>
    </w:p>
  </w:footnote>
  <w:footnote w:id="14">
    <w:p w14:paraId="202FB34E">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Приговор Ханты-Мансийского автономного округа г. Югры от 23.04.2020 г. №1-8-2321/2020 // Интернет-ресурс Судебные и нормативные акты РФ (СудАкт). – Режим доступа: </w:t>
      </w:r>
      <w:r>
        <w:rPr>
          <w:lang w:val="en-US"/>
        </w:rPr>
        <w:t>http</w:t>
      </w:r>
      <w:r>
        <w:t>://</w:t>
      </w:r>
      <w:r>
        <w:rPr>
          <w:lang w:val="en-US"/>
        </w:rPr>
        <w:t>www</w:t>
      </w:r>
      <w:r>
        <w:t>.</w:t>
      </w:r>
      <w:r>
        <w:rPr>
          <w:lang w:val="en-US"/>
        </w:rPr>
        <w:t>sudact</w:t>
      </w:r>
      <w:r>
        <w:t>.</w:t>
      </w:r>
      <w:r>
        <w:rPr>
          <w:lang w:val="en-US"/>
        </w:rPr>
        <w:t>ru</w:t>
      </w:r>
      <w:r>
        <w:t>.</w:t>
      </w:r>
    </w:p>
  </w:footnote>
  <w:footnote w:id="15">
    <w:p w14:paraId="67CC7319">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Приговор Советского районного суда г. Красноярска от 07.02.2018 г. №1-111/2018 // Интернет-ресурс Судебные и нормативные акты РФ (СудАкт). – Режим доступа: </w:t>
      </w:r>
      <w:r>
        <w:rPr>
          <w:lang w:val="en-US"/>
        </w:rPr>
        <w:t>http</w:t>
      </w:r>
      <w:r>
        <w:t>://</w:t>
      </w:r>
      <w:r>
        <w:rPr>
          <w:lang w:val="en-US"/>
        </w:rPr>
        <w:t>www</w:t>
      </w:r>
      <w:r>
        <w:t>.</w:t>
      </w:r>
      <w:r>
        <w:rPr>
          <w:lang w:val="en-US"/>
        </w:rPr>
        <w:t>sudact</w:t>
      </w:r>
      <w:r>
        <w:t>.</w:t>
      </w:r>
      <w:r>
        <w:rPr>
          <w:lang w:val="en-US"/>
        </w:rPr>
        <w:t>ru</w:t>
      </w:r>
      <w:r>
        <w:t>.</w:t>
      </w:r>
    </w:p>
  </w:footnote>
  <w:footnote w:id="16">
    <w:p w14:paraId="4A3F73C4">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Шупрунов С. И. Отграничения мошенничества в сфере кредитования (ст. 1591 УК РФ) от незаконного получения кредита (ст. 176 УК РФ) и проблемы квалификации // Проблемы становления гражданского общества : сборник статей VIII Международной научной студенческой конференции. – Том Часть III. – Иркутск, 2020. – С. 126-129.</w:t>
      </w:r>
    </w:p>
  </w:footnote>
  <w:footnote w:id="17">
    <w:p w14:paraId="69AAE9F2">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Яни П.С. Пленум Верховного суда обсудил «цифровые» мошенничества. URL: https://pravo.ru/</w:t>
      </w:r>
    </w:p>
  </w:footnote>
  <w:footnote w:id="18">
    <w:p w14:paraId="2D1DC87B">
      <w:pPr>
        <w:pStyle w:val="8"/>
        <w:keepNext w:val="0"/>
        <w:keepLines w:val="0"/>
        <w:pageBreakBefore w:val="0"/>
        <w:widowControl/>
        <w:kinsoku/>
        <w:wordWrap/>
        <w:overflowPunct/>
        <w:topLinePunct w:val="0"/>
        <w:bidi w:val="0"/>
        <w:adjustRightInd/>
        <w:snapToGrid/>
        <w:spacing w:after="0"/>
        <w:ind w:firstLine="0"/>
        <w:jc w:val="both"/>
        <w:textAlignment w:val="auto"/>
        <w:rPr>
          <w:highlight w:val="yellow"/>
        </w:rPr>
      </w:pPr>
      <w:r>
        <w:rPr>
          <w:rStyle w:val="6"/>
        </w:rPr>
        <w:footnoteRef/>
      </w:r>
      <w:r>
        <w:t xml:space="preserve"> Помнина С. Н. К вопросу о субъекте мошенничества в сфере кредитования // Проблемы экономики и юридической практики. – 2019. – Т. 15, № 5. – С. 273-276.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A9306">
    <w:pPr>
      <w:pStyle w:val="9"/>
      <w:jc w:val="center"/>
      <w:rPr>
        <w:rFonts w:ascii="Times New Roman" w:hAnsi="Times New Roman" w:cs="Times New Roman"/>
        <w:sz w:val="24"/>
        <w:szCs w:val="24"/>
      </w:rPr>
    </w:pPr>
  </w:p>
  <w:p w14:paraId="4894B514">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B53D4">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1637F"/>
    <w:multiLevelType w:val="multilevel"/>
    <w:tmpl w:val="00E1637F"/>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1">
    <w:nsid w:val="0E0C2641"/>
    <w:multiLevelType w:val="multilevel"/>
    <w:tmpl w:val="0E0C2641"/>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2">
    <w:nsid w:val="1C0119C3"/>
    <w:multiLevelType w:val="multilevel"/>
    <w:tmpl w:val="1C0119C3"/>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3">
    <w:nsid w:val="2D7B77C0"/>
    <w:multiLevelType w:val="multilevel"/>
    <w:tmpl w:val="2D7B77C0"/>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4">
    <w:nsid w:val="439B5324"/>
    <w:multiLevelType w:val="multilevel"/>
    <w:tmpl w:val="439B5324"/>
    <w:lvl w:ilvl="0" w:tentative="0">
      <w:start w:val="1"/>
      <w:numFmt w:val="decimal"/>
      <w:lvlText w:val="%1."/>
      <w:lvlJc w:val="left"/>
      <w:pPr>
        <w:ind w:left="1429" w:hanging="360"/>
      </w:pPr>
      <w:rPr>
        <w:color w:val="auto"/>
      </w:r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5">
    <w:nsid w:val="4EF4204F"/>
    <w:multiLevelType w:val="multilevel"/>
    <w:tmpl w:val="4EF4204F"/>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6">
    <w:nsid w:val="568B5824"/>
    <w:multiLevelType w:val="multilevel"/>
    <w:tmpl w:val="568B5824"/>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7">
    <w:nsid w:val="6C7804EE"/>
    <w:multiLevelType w:val="multilevel"/>
    <w:tmpl w:val="6C7804E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777E6B36"/>
    <w:multiLevelType w:val="multilevel"/>
    <w:tmpl w:val="777E6B36"/>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abstractNum w:abstractNumId="9">
    <w:nsid w:val="7D8E0F38"/>
    <w:multiLevelType w:val="multilevel"/>
    <w:tmpl w:val="7D8E0F3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9"/>
  </w:num>
  <w:num w:numId="2">
    <w:abstractNumId w:val="7"/>
  </w:num>
  <w:num w:numId="3">
    <w:abstractNumId w:val="8"/>
  </w:num>
  <w:num w:numId="4">
    <w:abstractNumId w:val="3"/>
  </w:num>
  <w:num w:numId="5">
    <w:abstractNumId w:val="6"/>
  </w:num>
  <w:num w:numId="6">
    <w:abstractNumId w:val="5"/>
  </w:num>
  <w:num w:numId="7">
    <w:abstractNumId w:val="1"/>
  </w:num>
  <w:num w:numId="8">
    <w:abstractNumId w:val="0"/>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38"/>
    <w:footnote w:id="39"/>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77E"/>
    <w:rsid w:val="000243BC"/>
    <w:rsid w:val="0005246F"/>
    <w:rsid w:val="00092EF3"/>
    <w:rsid w:val="000A002A"/>
    <w:rsid w:val="000C03C2"/>
    <w:rsid w:val="000C7FD2"/>
    <w:rsid w:val="00107669"/>
    <w:rsid w:val="00150D96"/>
    <w:rsid w:val="00164CC8"/>
    <w:rsid w:val="00171C30"/>
    <w:rsid w:val="00181EF3"/>
    <w:rsid w:val="001C44C0"/>
    <w:rsid w:val="001F15B5"/>
    <w:rsid w:val="002121CE"/>
    <w:rsid w:val="0025129D"/>
    <w:rsid w:val="00261259"/>
    <w:rsid w:val="00266381"/>
    <w:rsid w:val="002D6D47"/>
    <w:rsid w:val="002F577E"/>
    <w:rsid w:val="00332544"/>
    <w:rsid w:val="0033576B"/>
    <w:rsid w:val="00403C3B"/>
    <w:rsid w:val="00432965"/>
    <w:rsid w:val="00441F82"/>
    <w:rsid w:val="00450F34"/>
    <w:rsid w:val="0046228B"/>
    <w:rsid w:val="00491124"/>
    <w:rsid w:val="004B5C91"/>
    <w:rsid w:val="004D15B3"/>
    <w:rsid w:val="004D185A"/>
    <w:rsid w:val="004D3E1D"/>
    <w:rsid w:val="004F45BF"/>
    <w:rsid w:val="0052154F"/>
    <w:rsid w:val="0057198F"/>
    <w:rsid w:val="00580ADC"/>
    <w:rsid w:val="0059219F"/>
    <w:rsid w:val="005D4691"/>
    <w:rsid w:val="005E13DF"/>
    <w:rsid w:val="006033E6"/>
    <w:rsid w:val="0060576C"/>
    <w:rsid w:val="00627D02"/>
    <w:rsid w:val="00637CA5"/>
    <w:rsid w:val="006541E7"/>
    <w:rsid w:val="00696699"/>
    <w:rsid w:val="00696BB4"/>
    <w:rsid w:val="006C5AEB"/>
    <w:rsid w:val="006F2F93"/>
    <w:rsid w:val="006F5900"/>
    <w:rsid w:val="0077050C"/>
    <w:rsid w:val="007A376D"/>
    <w:rsid w:val="00815E3C"/>
    <w:rsid w:val="008208D3"/>
    <w:rsid w:val="00826E3F"/>
    <w:rsid w:val="008342CE"/>
    <w:rsid w:val="00890C21"/>
    <w:rsid w:val="008A1E32"/>
    <w:rsid w:val="008D7590"/>
    <w:rsid w:val="008F14A5"/>
    <w:rsid w:val="00905E98"/>
    <w:rsid w:val="009122F1"/>
    <w:rsid w:val="00914C3B"/>
    <w:rsid w:val="00971A93"/>
    <w:rsid w:val="00993214"/>
    <w:rsid w:val="009A3685"/>
    <w:rsid w:val="009A4F24"/>
    <w:rsid w:val="009C203F"/>
    <w:rsid w:val="00A1602A"/>
    <w:rsid w:val="00A255C2"/>
    <w:rsid w:val="00A26D87"/>
    <w:rsid w:val="00A41A65"/>
    <w:rsid w:val="00A50A12"/>
    <w:rsid w:val="00A62F20"/>
    <w:rsid w:val="00AA6C92"/>
    <w:rsid w:val="00AD7E9B"/>
    <w:rsid w:val="00B175F8"/>
    <w:rsid w:val="00B43277"/>
    <w:rsid w:val="00B85AF3"/>
    <w:rsid w:val="00BD2339"/>
    <w:rsid w:val="00BD2486"/>
    <w:rsid w:val="00BE4AAD"/>
    <w:rsid w:val="00BF44B2"/>
    <w:rsid w:val="00BF4DC8"/>
    <w:rsid w:val="00C1491A"/>
    <w:rsid w:val="00C25876"/>
    <w:rsid w:val="00C275FD"/>
    <w:rsid w:val="00C30976"/>
    <w:rsid w:val="00CB7214"/>
    <w:rsid w:val="00CC5615"/>
    <w:rsid w:val="00CD59B1"/>
    <w:rsid w:val="00CE01BA"/>
    <w:rsid w:val="00CF05EC"/>
    <w:rsid w:val="00D058F3"/>
    <w:rsid w:val="00D211B1"/>
    <w:rsid w:val="00D5752C"/>
    <w:rsid w:val="00D664B9"/>
    <w:rsid w:val="00D906D7"/>
    <w:rsid w:val="00DA7B00"/>
    <w:rsid w:val="00DE73DE"/>
    <w:rsid w:val="00E40808"/>
    <w:rsid w:val="00E50FB8"/>
    <w:rsid w:val="00EC14CF"/>
    <w:rsid w:val="00EC7916"/>
    <w:rsid w:val="00ED0E0A"/>
    <w:rsid w:val="00F074F9"/>
    <w:rsid w:val="00F30ABE"/>
    <w:rsid w:val="00F404FE"/>
    <w:rsid w:val="00F562BB"/>
    <w:rsid w:val="00F77AFD"/>
    <w:rsid w:val="00FB22D3"/>
    <w:rsid w:val="00FB23D4"/>
    <w:rsid w:val="00FC62A6"/>
    <w:rsid w:val="00FE3D26"/>
    <w:rsid w:val="1DC151FC"/>
    <w:rsid w:val="300913FF"/>
    <w:rsid w:val="5EBA01AA"/>
    <w:rsid w:val="748F5C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4"/>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19"/>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footnote reference"/>
    <w:basedOn w:val="4"/>
    <w:semiHidden/>
    <w:unhideWhenUsed/>
    <w:qFormat/>
    <w:uiPriority w:val="99"/>
    <w:rPr>
      <w:vertAlign w:val="superscript"/>
    </w:rPr>
  </w:style>
  <w:style w:type="character" w:styleId="7">
    <w:name w:val="Hyperlink"/>
    <w:basedOn w:val="4"/>
    <w:unhideWhenUsed/>
    <w:qFormat/>
    <w:uiPriority w:val="99"/>
    <w:rPr>
      <w:color w:val="0563C1" w:themeColor="hyperlink"/>
      <w:u w:val="single"/>
      <w14:textFill>
        <w14:solidFill>
          <w14:schemeClr w14:val="hlink"/>
        </w14:solidFill>
      </w14:textFill>
    </w:rPr>
  </w:style>
  <w:style w:type="paragraph" w:styleId="8">
    <w:name w:val="footnote text"/>
    <w:basedOn w:val="1"/>
    <w:link w:val="21"/>
    <w:semiHidden/>
    <w:qFormat/>
    <w:uiPriority w:val="99"/>
    <w:pPr>
      <w:spacing w:after="200" w:line="240" w:lineRule="auto"/>
    </w:pPr>
    <w:rPr>
      <w:rFonts w:ascii="Times New Roman" w:hAnsi="Times New Roman" w:eastAsia="Times New Roman" w:cs="Times New Roman"/>
      <w:sz w:val="20"/>
      <w:szCs w:val="20"/>
      <w:lang w:eastAsia="ru-RU"/>
    </w:rPr>
  </w:style>
  <w:style w:type="paragraph" w:styleId="9">
    <w:name w:val="header"/>
    <w:basedOn w:val="1"/>
    <w:link w:val="15"/>
    <w:unhideWhenUsed/>
    <w:qFormat/>
    <w:uiPriority w:val="99"/>
    <w:pPr>
      <w:tabs>
        <w:tab w:val="center" w:pos="4677"/>
        <w:tab w:val="right" w:pos="9355"/>
      </w:tabs>
      <w:spacing w:after="0" w:line="240" w:lineRule="auto"/>
    </w:pPr>
  </w:style>
  <w:style w:type="paragraph" w:styleId="10">
    <w:name w:val="Body Text"/>
    <w:basedOn w:val="1"/>
    <w:link w:val="17"/>
    <w:qFormat/>
    <w:uiPriority w:val="99"/>
    <w:pPr>
      <w:spacing w:after="200" w:line="240" w:lineRule="auto"/>
      <w:jc w:val="both"/>
    </w:pPr>
    <w:rPr>
      <w:rFonts w:ascii="Times New Roman" w:hAnsi="Times New Roman" w:eastAsia="Times New Roman" w:cs="Times New Roman"/>
      <w:sz w:val="28"/>
      <w:szCs w:val="28"/>
      <w:lang w:eastAsia="ru-RU"/>
    </w:rPr>
  </w:style>
  <w:style w:type="paragraph" w:styleId="11">
    <w:name w:val="toc 1"/>
    <w:basedOn w:val="1"/>
    <w:next w:val="1"/>
    <w:autoRedefine/>
    <w:unhideWhenUsed/>
    <w:uiPriority w:val="39"/>
    <w:pPr>
      <w:spacing w:after="100"/>
    </w:pPr>
  </w:style>
  <w:style w:type="paragraph" w:styleId="12">
    <w:name w:val="toc 2"/>
    <w:basedOn w:val="1"/>
    <w:next w:val="1"/>
    <w:autoRedefine/>
    <w:unhideWhenUsed/>
    <w:uiPriority w:val="39"/>
    <w:pPr>
      <w:spacing w:after="100"/>
      <w:ind w:left="220"/>
    </w:pPr>
  </w:style>
  <w:style w:type="paragraph" w:styleId="13">
    <w:name w:val="footer"/>
    <w:basedOn w:val="1"/>
    <w:link w:val="16"/>
    <w:unhideWhenUsed/>
    <w:uiPriority w:val="99"/>
    <w:pPr>
      <w:tabs>
        <w:tab w:val="center" w:pos="4677"/>
        <w:tab w:val="right" w:pos="9355"/>
      </w:tabs>
      <w:spacing w:after="0" w:line="240" w:lineRule="auto"/>
    </w:pPr>
  </w:style>
  <w:style w:type="character" w:customStyle="1" w:styleId="14">
    <w:name w:val="Заголовок 1 Знак"/>
    <w:basedOn w:val="4"/>
    <w:link w:val="2"/>
    <w:qFormat/>
    <w:uiPriority w:val="9"/>
    <w:rPr>
      <w:rFonts w:asciiTheme="majorHAnsi" w:hAnsiTheme="majorHAnsi" w:eastAsiaTheme="majorEastAsia" w:cstheme="majorBidi"/>
      <w:color w:val="2F5597" w:themeColor="accent1" w:themeShade="BF"/>
      <w:sz w:val="32"/>
      <w:szCs w:val="32"/>
    </w:rPr>
  </w:style>
  <w:style w:type="character" w:customStyle="1" w:styleId="15">
    <w:name w:val="Верхний колонтитул Знак"/>
    <w:basedOn w:val="4"/>
    <w:link w:val="9"/>
    <w:uiPriority w:val="99"/>
  </w:style>
  <w:style w:type="character" w:customStyle="1" w:styleId="16">
    <w:name w:val="Нижний колонтитул Знак"/>
    <w:basedOn w:val="4"/>
    <w:link w:val="13"/>
    <w:uiPriority w:val="99"/>
  </w:style>
  <w:style w:type="character" w:customStyle="1" w:styleId="17">
    <w:name w:val="Основной текст Знак"/>
    <w:basedOn w:val="4"/>
    <w:link w:val="10"/>
    <w:qFormat/>
    <w:uiPriority w:val="99"/>
    <w:rPr>
      <w:rFonts w:ascii="Times New Roman" w:hAnsi="Times New Roman" w:eastAsia="Times New Roman" w:cs="Times New Roman"/>
      <w:sz w:val="28"/>
      <w:szCs w:val="28"/>
      <w:lang w:eastAsia="ru-RU"/>
    </w:rPr>
  </w:style>
  <w:style w:type="paragraph" w:styleId="18">
    <w:name w:val="List Paragraph"/>
    <w:basedOn w:val="1"/>
    <w:qFormat/>
    <w:uiPriority w:val="34"/>
    <w:pPr>
      <w:ind w:left="720"/>
      <w:contextualSpacing/>
    </w:pPr>
  </w:style>
  <w:style w:type="character" w:customStyle="1" w:styleId="19">
    <w:name w:val="Заголовок 2 Знак"/>
    <w:basedOn w:val="4"/>
    <w:link w:val="3"/>
    <w:uiPriority w:val="9"/>
    <w:rPr>
      <w:rFonts w:asciiTheme="majorHAnsi" w:hAnsiTheme="majorHAnsi" w:eastAsiaTheme="majorEastAsia" w:cstheme="majorBidi"/>
      <w:color w:val="2F5597" w:themeColor="accent1" w:themeShade="BF"/>
      <w:sz w:val="26"/>
      <w:szCs w:val="26"/>
    </w:rPr>
  </w:style>
  <w:style w:type="paragraph" w:customStyle="1" w:styleId="20">
    <w:name w:val="TOC Heading"/>
    <w:basedOn w:val="2"/>
    <w:next w:val="1"/>
    <w:unhideWhenUsed/>
    <w:qFormat/>
    <w:uiPriority w:val="39"/>
    <w:pPr>
      <w:outlineLvl w:val="9"/>
    </w:pPr>
    <w:rPr>
      <w:lang w:eastAsia="ru-RU"/>
    </w:rPr>
  </w:style>
  <w:style w:type="character" w:customStyle="1" w:styleId="21">
    <w:name w:val="Текст сноски Знак"/>
    <w:basedOn w:val="4"/>
    <w:link w:val="8"/>
    <w:semiHidden/>
    <w:qFormat/>
    <w:uiPriority w:val="99"/>
    <w:rPr>
      <w:rFonts w:ascii="Times New Roman" w:hAnsi="Times New Roman" w:eastAsia="Times New Roman" w:cs="Times New Roman"/>
      <w:sz w:val="20"/>
      <w:szCs w:val="20"/>
      <w:lang w:eastAsia="ru-RU"/>
    </w:rPr>
  </w:style>
  <w:style w:type="character" w:customStyle="1" w:styleId="22">
    <w:name w:val="Unresolved Mention"/>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70009-FEBB-4DB7-B3EE-3C65FDE94D67}">
  <ds:schemaRefs/>
</ds:datastoreItem>
</file>

<file path=docProps/app.xml><?xml version="1.0" encoding="utf-8"?>
<Properties xmlns="http://schemas.openxmlformats.org/officeDocument/2006/extended-properties" xmlns:vt="http://schemas.openxmlformats.org/officeDocument/2006/docPropsVTypes">
  <Template>Normal</Template>
  <Pages>62</Pages>
  <Words>16253</Words>
  <Characters>92647</Characters>
  <Lines>772</Lines>
  <Paragraphs>217</Paragraphs>
  <TotalTime>7</TotalTime>
  <ScaleCrop>false</ScaleCrop>
  <LinksUpToDate>false</LinksUpToDate>
  <CharactersWithSpaces>108683</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2025-01-12T04:57:00Z</dcterms:created>
  <dc:creator>никита шапошников</dc:creator>
  <cp:lastModifiedBy>Админ</cp:lastModifiedBy>
  <dcterms:modified xsi:type="dcterms:W3CDTF">2025-02-03T17:15:50Z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F1802F683FC8431CA9ED42EE3CFF7986_12</vt:lpwstr>
  </property>
</Properties>
</file>