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D23" w:rsidRPr="00F33702" w:rsidRDefault="001B7D23" w:rsidP="001B7D23">
      <w:pPr>
        <w:jc w:val="center"/>
        <w:rPr>
          <w:szCs w:val="28"/>
        </w:rPr>
      </w:pPr>
      <w:r>
        <w:rPr>
          <w:szCs w:val="28"/>
        </w:rPr>
        <w:t>Министерство образования и науки РФ</w:t>
      </w:r>
    </w:p>
    <w:p w:rsidR="001B7D23" w:rsidRDefault="001B7D23" w:rsidP="001B7D23">
      <w:pPr>
        <w:jc w:val="center"/>
        <w:rPr>
          <w:szCs w:val="28"/>
        </w:rPr>
      </w:pPr>
      <w:r>
        <w:rPr>
          <w:szCs w:val="28"/>
        </w:rPr>
        <w:t xml:space="preserve">Федеральное государственное образовательное </w:t>
      </w:r>
    </w:p>
    <w:p w:rsidR="001B7D23" w:rsidRDefault="001B7D23" w:rsidP="001B7D23">
      <w:pPr>
        <w:jc w:val="center"/>
        <w:rPr>
          <w:szCs w:val="28"/>
        </w:rPr>
      </w:pPr>
      <w:r>
        <w:rPr>
          <w:szCs w:val="28"/>
        </w:rPr>
        <w:t xml:space="preserve">учреждение высшего образования </w:t>
      </w:r>
    </w:p>
    <w:p w:rsidR="001B7D23" w:rsidRDefault="001B7D23" w:rsidP="001B7D23">
      <w:pPr>
        <w:jc w:val="center"/>
        <w:rPr>
          <w:szCs w:val="28"/>
        </w:rPr>
      </w:pPr>
      <w:r>
        <w:rPr>
          <w:szCs w:val="28"/>
        </w:rPr>
        <w:t xml:space="preserve">«Пензенский государственный университет» </w:t>
      </w:r>
    </w:p>
    <w:p w:rsidR="001B7D23" w:rsidRPr="00C75443" w:rsidRDefault="001B7D23" w:rsidP="001B7D23">
      <w:pPr>
        <w:jc w:val="center"/>
        <w:rPr>
          <w:szCs w:val="28"/>
        </w:rPr>
      </w:pPr>
      <w:r w:rsidRPr="00C75443">
        <w:rPr>
          <w:szCs w:val="28"/>
        </w:rPr>
        <w:t xml:space="preserve">Кафедра «Экономика и финансы» </w:t>
      </w:r>
    </w:p>
    <w:p w:rsidR="001B7D23" w:rsidRPr="00C75443" w:rsidRDefault="001B7D23" w:rsidP="001B7D23">
      <w:pPr>
        <w:jc w:val="center"/>
        <w:rPr>
          <w:szCs w:val="28"/>
        </w:rPr>
      </w:pPr>
    </w:p>
    <w:p w:rsidR="001B7D23" w:rsidRPr="00C75443" w:rsidRDefault="001B7D23" w:rsidP="001B7D23">
      <w:pPr>
        <w:jc w:val="center"/>
        <w:rPr>
          <w:bCs/>
          <w:szCs w:val="28"/>
        </w:rPr>
      </w:pPr>
      <w:r w:rsidRPr="00C75443">
        <w:rPr>
          <w:szCs w:val="28"/>
        </w:rPr>
        <w:br/>
        <w:t> </w:t>
      </w:r>
      <w:r w:rsidRPr="00C75443">
        <w:rPr>
          <w:szCs w:val="28"/>
        </w:rPr>
        <w:br/>
      </w:r>
      <w:r w:rsidRPr="00C75443">
        <w:rPr>
          <w:bCs/>
          <w:szCs w:val="28"/>
        </w:rPr>
        <w:t>Курсовая работа</w:t>
      </w:r>
    </w:p>
    <w:p w:rsidR="001B7D23" w:rsidRPr="00C75443" w:rsidRDefault="001B7D23" w:rsidP="001B7D23">
      <w:pPr>
        <w:jc w:val="center"/>
        <w:rPr>
          <w:szCs w:val="28"/>
        </w:rPr>
      </w:pPr>
      <w:r w:rsidRPr="00C75443">
        <w:rPr>
          <w:szCs w:val="28"/>
        </w:rPr>
        <w:t xml:space="preserve">по дисциплине «Финансовый менеджмент» </w:t>
      </w:r>
    </w:p>
    <w:p w:rsidR="001B7D23" w:rsidRPr="00C75443" w:rsidRDefault="001B7D23" w:rsidP="001B7D23">
      <w:pPr>
        <w:jc w:val="center"/>
        <w:rPr>
          <w:szCs w:val="28"/>
        </w:rPr>
      </w:pPr>
      <w:r w:rsidRPr="00C75443">
        <w:rPr>
          <w:szCs w:val="28"/>
        </w:rPr>
        <w:t>на тему: «Управление прибылью и формирование структуры капитала предприятия»</w:t>
      </w:r>
    </w:p>
    <w:p w:rsidR="001B7D23" w:rsidRPr="008F2C31" w:rsidRDefault="001B7D23" w:rsidP="001B7D23">
      <w:pPr>
        <w:jc w:val="center"/>
        <w:rPr>
          <w:szCs w:val="28"/>
        </w:rPr>
      </w:pPr>
      <w:r w:rsidRPr="00C75443">
        <w:rPr>
          <w:szCs w:val="28"/>
        </w:rPr>
        <w:t>(Вариант №17)</w:t>
      </w:r>
    </w:p>
    <w:p w:rsidR="001B7D23" w:rsidRPr="00C75443" w:rsidRDefault="001B7D23" w:rsidP="001B7D23">
      <w:pPr>
        <w:jc w:val="right"/>
        <w:rPr>
          <w:bCs/>
          <w:szCs w:val="28"/>
        </w:rPr>
      </w:pPr>
    </w:p>
    <w:p w:rsidR="001B7D23" w:rsidRPr="00C75443" w:rsidRDefault="001B7D23" w:rsidP="001B7D23">
      <w:pPr>
        <w:rPr>
          <w:bCs/>
          <w:szCs w:val="28"/>
        </w:rPr>
      </w:pPr>
    </w:p>
    <w:p w:rsidR="001B7D23" w:rsidRPr="00C75443" w:rsidRDefault="001B7D23" w:rsidP="001B7D23">
      <w:pPr>
        <w:jc w:val="right"/>
        <w:rPr>
          <w:bCs/>
          <w:szCs w:val="28"/>
        </w:rPr>
      </w:pPr>
    </w:p>
    <w:p w:rsidR="001B7D23" w:rsidRDefault="001B7D23" w:rsidP="001B7D23">
      <w:pPr>
        <w:jc w:val="right"/>
        <w:rPr>
          <w:bCs/>
          <w:szCs w:val="28"/>
        </w:rPr>
      </w:pPr>
    </w:p>
    <w:p w:rsidR="001B7D23" w:rsidRDefault="001B7D23" w:rsidP="001B7D23">
      <w:pPr>
        <w:jc w:val="right"/>
        <w:rPr>
          <w:bCs/>
          <w:szCs w:val="28"/>
        </w:rPr>
      </w:pPr>
    </w:p>
    <w:p w:rsidR="001B7D23" w:rsidRPr="00C75443" w:rsidRDefault="001B7D23" w:rsidP="001B7D23">
      <w:pPr>
        <w:jc w:val="right"/>
        <w:rPr>
          <w:szCs w:val="28"/>
        </w:rPr>
      </w:pPr>
      <w:r w:rsidRPr="00C75443">
        <w:rPr>
          <w:bCs/>
          <w:szCs w:val="28"/>
        </w:rPr>
        <w:t xml:space="preserve">Выполнила: </w:t>
      </w:r>
      <w:r w:rsidRPr="00C75443">
        <w:rPr>
          <w:szCs w:val="28"/>
        </w:rPr>
        <w:t>студентка</w:t>
      </w:r>
    </w:p>
    <w:p w:rsidR="001B7D23" w:rsidRPr="00C75443" w:rsidRDefault="001B7D23" w:rsidP="001B7D23">
      <w:pPr>
        <w:ind w:left="5954"/>
        <w:jc w:val="right"/>
        <w:rPr>
          <w:szCs w:val="28"/>
        </w:rPr>
      </w:pPr>
      <w:r w:rsidRPr="00C75443">
        <w:rPr>
          <w:bCs/>
          <w:szCs w:val="28"/>
        </w:rPr>
        <w:t xml:space="preserve">Группы </w:t>
      </w:r>
      <w:r w:rsidRPr="00C75443">
        <w:rPr>
          <w:szCs w:val="28"/>
        </w:rPr>
        <w:t>15ТЗЭМ31</w:t>
      </w:r>
    </w:p>
    <w:p w:rsidR="001B7D23" w:rsidRPr="00C75443" w:rsidRDefault="001B7D23" w:rsidP="001B7D23">
      <w:pPr>
        <w:ind w:left="5954"/>
        <w:jc w:val="right"/>
        <w:rPr>
          <w:szCs w:val="28"/>
        </w:rPr>
      </w:pPr>
      <w:r w:rsidRPr="00C75443">
        <w:rPr>
          <w:bCs/>
          <w:szCs w:val="28"/>
        </w:rPr>
        <w:t>Макалова Т.</w:t>
      </w:r>
      <w:r w:rsidRPr="00C75443">
        <w:rPr>
          <w:szCs w:val="28"/>
        </w:rPr>
        <w:t>Е.</w:t>
      </w:r>
    </w:p>
    <w:p w:rsidR="001B7D23" w:rsidRPr="00C75443" w:rsidRDefault="001B7D23" w:rsidP="001B7D23">
      <w:pPr>
        <w:pStyle w:val="ad"/>
        <w:spacing w:before="0" w:beforeAutospacing="0" w:after="0" w:afterAutospacing="0" w:line="360" w:lineRule="auto"/>
        <w:jc w:val="right"/>
        <w:rPr>
          <w:sz w:val="28"/>
          <w:szCs w:val="28"/>
        </w:rPr>
      </w:pPr>
      <w:r w:rsidRPr="00C75443">
        <w:rPr>
          <w:sz w:val="28"/>
          <w:szCs w:val="28"/>
        </w:rPr>
        <w:t>Проверил:</w:t>
      </w:r>
      <w:r w:rsidRPr="00C75443">
        <w:rPr>
          <w:color w:val="000000"/>
          <w:sz w:val="28"/>
          <w:szCs w:val="28"/>
          <w:shd w:val="clear" w:color="auto" w:fill="FFFFFF"/>
        </w:rPr>
        <w:t xml:space="preserve"> к. э. н.</w:t>
      </w:r>
      <w:r w:rsidRPr="00C75443">
        <w:rPr>
          <w:sz w:val="28"/>
          <w:szCs w:val="28"/>
        </w:rPr>
        <w:t>,доцент</w:t>
      </w:r>
    </w:p>
    <w:p w:rsidR="001B7D23" w:rsidRPr="00C75443" w:rsidRDefault="001B7D23" w:rsidP="001B7D23">
      <w:pPr>
        <w:pStyle w:val="ad"/>
        <w:spacing w:before="0" w:beforeAutospacing="0" w:after="0" w:afterAutospacing="0" w:line="360" w:lineRule="auto"/>
        <w:jc w:val="right"/>
        <w:rPr>
          <w:sz w:val="28"/>
          <w:szCs w:val="28"/>
        </w:rPr>
      </w:pPr>
      <w:r w:rsidRPr="00C75443">
        <w:rPr>
          <w:sz w:val="28"/>
          <w:szCs w:val="28"/>
        </w:rPr>
        <w:t xml:space="preserve">   Похвалов А.С.</w:t>
      </w:r>
    </w:p>
    <w:p w:rsidR="001B7D23" w:rsidRPr="00C75443" w:rsidRDefault="001B7D23" w:rsidP="001B7D23">
      <w:pPr>
        <w:pStyle w:val="ad"/>
        <w:spacing w:before="0" w:beforeAutospacing="0" w:after="0" w:afterAutospacing="0" w:line="360" w:lineRule="auto"/>
        <w:jc w:val="right"/>
        <w:rPr>
          <w:sz w:val="28"/>
          <w:szCs w:val="28"/>
        </w:rPr>
      </w:pPr>
    </w:p>
    <w:p w:rsidR="001B7D23" w:rsidRPr="00C75443" w:rsidRDefault="001B7D23" w:rsidP="001B7D23">
      <w:pPr>
        <w:pStyle w:val="ad"/>
        <w:spacing w:before="0" w:beforeAutospacing="0" w:after="0" w:afterAutospacing="0" w:line="360" w:lineRule="auto"/>
        <w:jc w:val="right"/>
        <w:rPr>
          <w:sz w:val="28"/>
          <w:szCs w:val="28"/>
        </w:rPr>
      </w:pPr>
    </w:p>
    <w:p w:rsidR="001B7D23" w:rsidRPr="008F2C31" w:rsidRDefault="001B7D23" w:rsidP="001B7D23">
      <w:pPr>
        <w:pStyle w:val="ad"/>
        <w:spacing w:before="0" w:beforeAutospacing="0" w:after="0" w:afterAutospacing="0" w:line="360" w:lineRule="auto"/>
        <w:jc w:val="center"/>
        <w:rPr>
          <w:sz w:val="28"/>
          <w:szCs w:val="28"/>
        </w:rPr>
      </w:pPr>
    </w:p>
    <w:p w:rsidR="001B7D23" w:rsidRDefault="001B7D23" w:rsidP="001B7D23">
      <w:pPr>
        <w:pStyle w:val="ad"/>
        <w:spacing w:before="0" w:beforeAutospacing="0" w:after="0" w:afterAutospacing="0" w:line="360" w:lineRule="auto"/>
        <w:jc w:val="center"/>
        <w:rPr>
          <w:sz w:val="28"/>
          <w:szCs w:val="28"/>
        </w:rPr>
      </w:pPr>
    </w:p>
    <w:p w:rsidR="001B7D23" w:rsidRDefault="001B7D23" w:rsidP="001B7D23">
      <w:pPr>
        <w:pStyle w:val="ad"/>
        <w:spacing w:before="0" w:beforeAutospacing="0" w:after="0" w:afterAutospacing="0" w:line="360" w:lineRule="auto"/>
        <w:jc w:val="center"/>
        <w:rPr>
          <w:sz w:val="28"/>
          <w:szCs w:val="28"/>
        </w:rPr>
      </w:pPr>
    </w:p>
    <w:p w:rsidR="001B7D23" w:rsidRDefault="001B7D23" w:rsidP="001B7D23">
      <w:pPr>
        <w:pStyle w:val="ad"/>
        <w:spacing w:before="0" w:beforeAutospacing="0" w:after="0" w:afterAutospacing="0" w:line="360" w:lineRule="auto"/>
        <w:jc w:val="center"/>
        <w:rPr>
          <w:sz w:val="28"/>
          <w:szCs w:val="28"/>
        </w:rPr>
      </w:pPr>
    </w:p>
    <w:p w:rsidR="001B7D23" w:rsidRPr="001B7D23" w:rsidRDefault="00700599" w:rsidP="001B7D23">
      <w:pPr>
        <w:pStyle w:val="ad"/>
        <w:spacing w:before="0" w:beforeAutospacing="0" w:after="0" w:afterAutospacing="0" w:line="360" w:lineRule="auto"/>
        <w:jc w:val="center"/>
        <w:rPr>
          <w:sz w:val="28"/>
          <w:szCs w:val="28"/>
        </w:rPr>
      </w:pPr>
      <w:r>
        <w:rPr>
          <w:sz w:val="28"/>
          <w:szCs w:val="28"/>
        </w:rPr>
        <w:t>Пенза 2018</w:t>
      </w:r>
      <w:bookmarkStart w:id="0" w:name="_GoBack"/>
      <w:bookmarkEnd w:id="0"/>
    </w:p>
    <w:p w:rsidR="000218F7" w:rsidRDefault="000218F7" w:rsidP="001B7D23">
      <w:pPr>
        <w:spacing w:after="200" w:line="276" w:lineRule="auto"/>
        <w:ind w:firstLine="0"/>
        <w:jc w:val="center"/>
        <w:rPr>
          <w:b/>
        </w:rPr>
      </w:pPr>
      <w:r w:rsidRPr="00E71AB1">
        <w:rPr>
          <w:b/>
        </w:rPr>
        <w:lastRenderedPageBreak/>
        <w:t>Содержание</w:t>
      </w:r>
    </w:p>
    <w:p w:rsidR="001B7D23" w:rsidRDefault="001B7D23" w:rsidP="001B7D23">
      <w:pPr>
        <w:spacing w:after="200" w:line="276" w:lineRule="auto"/>
        <w:ind w:firstLine="0"/>
        <w:jc w:val="center"/>
        <w:rPr>
          <w:b/>
        </w:rPr>
      </w:pPr>
    </w:p>
    <w:p w:rsidR="00547FF3" w:rsidRDefault="00547FF3" w:rsidP="001B7D23">
      <w:pPr>
        <w:pStyle w:val="11"/>
        <w:tabs>
          <w:tab w:val="right" w:leader="dot" w:pos="9345"/>
        </w:tabs>
        <w:ind w:firstLine="0"/>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14325117" w:history="1">
        <w:r w:rsidRPr="005F70B4">
          <w:rPr>
            <w:rStyle w:val="a8"/>
            <w:noProof/>
          </w:rPr>
          <w:t>Введение</w:t>
        </w:r>
        <w:r w:rsidR="001B7D23">
          <w:rPr>
            <w:noProof/>
            <w:webHidden/>
          </w:rPr>
          <w:t>…………………………………………………………………………...3</w:t>
        </w:r>
      </w:hyperlink>
    </w:p>
    <w:p w:rsidR="00547FF3" w:rsidRPr="001B7D23" w:rsidRDefault="00553D84" w:rsidP="001B7D23">
      <w:pPr>
        <w:pStyle w:val="11"/>
        <w:tabs>
          <w:tab w:val="right" w:leader="dot" w:pos="9345"/>
        </w:tabs>
        <w:ind w:firstLine="0"/>
        <w:rPr>
          <w:rFonts w:asciiTheme="minorHAnsi" w:eastAsiaTheme="minorEastAsia" w:hAnsiTheme="minorHAnsi" w:cstheme="minorBidi"/>
          <w:noProof/>
          <w:sz w:val="22"/>
          <w:szCs w:val="22"/>
        </w:rPr>
      </w:pPr>
      <w:hyperlink w:anchor="_Toc514325118" w:history="1">
        <w:r w:rsidR="00547FF3" w:rsidRPr="001B7D23">
          <w:rPr>
            <w:rStyle w:val="a8"/>
            <w:noProof/>
          </w:rPr>
          <w:t>1. Эффект рычага и его использование в управлении капиталом предприятия……………………………………………………………………….</w:t>
        </w:r>
        <w:r w:rsidR="001B7D23" w:rsidRPr="001B7D23">
          <w:rPr>
            <w:noProof/>
            <w:webHidden/>
          </w:rPr>
          <w:t>4</w:t>
        </w:r>
      </w:hyperlink>
      <w:r w:rsidR="001B7D23" w:rsidRPr="001B7D23">
        <w:rPr>
          <w:rFonts w:asciiTheme="minorHAnsi" w:eastAsiaTheme="minorEastAsia" w:hAnsiTheme="minorHAnsi" w:cstheme="minorBidi"/>
          <w:noProof/>
          <w:sz w:val="22"/>
          <w:szCs w:val="22"/>
        </w:rPr>
        <w:t xml:space="preserve"> </w:t>
      </w:r>
    </w:p>
    <w:p w:rsidR="001B7D23" w:rsidRPr="001B7D23" w:rsidRDefault="001B7D23" w:rsidP="001B7D23">
      <w:pPr>
        <w:ind w:firstLine="0"/>
      </w:pPr>
      <w:r w:rsidRPr="001B7D23">
        <w:t>2.Оценка операционного рычага</w:t>
      </w:r>
      <w:r>
        <w:t>…………………………………………………7</w:t>
      </w:r>
    </w:p>
    <w:p w:rsidR="00547FF3" w:rsidRDefault="00553D84" w:rsidP="001B7D23">
      <w:pPr>
        <w:pStyle w:val="11"/>
        <w:tabs>
          <w:tab w:val="right" w:leader="dot" w:pos="9345"/>
        </w:tabs>
        <w:ind w:firstLine="0"/>
        <w:rPr>
          <w:rFonts w:asciiTheme="minorHAnsi" w:eastAsiaTheme="minorEastAsia" w:hAnsiTheme="minorHAnsi" w:cstheme="minorBidi"/>
          <w:noProof/>
          <w:sz w:val="22"/>
          <w:szCs w:val="22"/>
        </w:rPr>
      </w:pPr>
      <w:hyperlink w:anchor="_Toc514325119" w:history="1">
        <w:r w:rsidR="001B7D23">
          <w:rPr>
            <w:rStyle w:val="a8"/>
            <w:noProof/>
          </w:rPr>
          <w:t>3</w:t>
        </w:r>
        <w:r w:rsidR="00547FF3" w:rsidRPr="005F70B4">
          <w:rPr>
            <w:rStyle w:val="a8"/>
            <w:noProof/>
          </w:rPr>
          <w:t>. Оценка финансового рычага</w:t>
        </w:r>
        <w:r w:rsidR="00547FF3">
          <w:rPr>
            <w:noProof/>
            <w:webHidden/>
          </w:rPr>
          <w:tab/>
        </w:r>
        <w:r w:rsidR="001B7D23">
          <w:rPr>
            <w:noProof/>
            <w:webHidden/>
          </w:rPr>
          <w:t>…………………………………………………11</w:t>
        </w:r>
      </w:hyperlink>
    </w:p>
    <w:p w:rsidR="00547FF3" w:rsidRDefault="00553D84" w:rsidP="001B7D23">
      <w:pPr>
        <w:pStyle w:val="11"/>
        <w:tabs>
          <w:tab w:val="right" w:leader="dot" w:pos="9345"/>
        </w:tabs>
        <w:ind w:firstLine="0"/>
        <w:rPr>
          <w:rFonts w:asciiTheme="minorHAnsi" w:eastAsiaTheme="minorEastAsia" w:hAnsiTheme="minorHAnsi" w:cstheme="minorBidi"/>
          <w:noProof/>
          <w:sz w:val="22"/>
          <w:szCs w:val="22"/>
        </w:rPr>
      </w:pPr>
      <w:hyperlink w:anchor="_Toc514325120" w:history="1">
        <w:r w:rsidR="001B7D23">
          <w:rPr>
            <w:rStyle w:val="a8"/>
            <w:noProof/>
          </w:rPr>
          <w:t>4</w:t>
        </w:r>
        <w:r w:rsidR="00547FF3" w:rsidRPr="005F70B4">
          <w:rPr>
            <w:rStyle w:val="a8"/>
            <w:noProof/>
          </w:rPr>
          <w:t>. Выбор рациональной структуры капитала предприятия</w:t>
        </w:r>
      </w:hyperlink>
      <w:r w:rsidR="001B7D23">
        <w:rPr>
          <w:noProof/>
        </w:rPr>
        <w:t>…………………...18</w:t>
      </w:r>
    </w:p>
    <w:p w:rsidR="00547FF3" w:rsidRDefault="00553D84" w:rsidP="001B7D23">
      <w:pPr>
        <w:pStyle w:val="11"/>
        <w:tabs>
          <w:tab w:val="right" w:leader="dot" w:pos="9345"/>
        </w:tabs>
        <w:ind w:firstLine="0"/>
        <w:rPr>
          <w:rFonts w:asciiTheme="minorHAnsi" w:eastAsiaTheme="minorEastAsia" w:hAnsiTheme="minorHAnsi" w:cstheme="minorBidi"/>
          <w:noProof/>
          <w:sz w:val="22"/>
          <w:szCs w:val="22"/>
        </w:rPr>
      </w:pPr>
      <w:hyperlink w:anchor="_Toc514325121" w:history="1">
        <w:r w:rsidR="00547FF3" w:rsidRPr="005F70B4">
          <w:rPr>
            <w:rStyle w:val="a8"/>
            <w:noProof/>
          </w:rPr>
          <w:t>Заключение</w:t>
        </w:r>
        <w:r w:rsidR="00547FF3">
          <w:rPr>
            <w:noProof/>
            <w:webHidden/>
          </w:rPr>
          <w:tab/>
        </w:r>
        <w:r w:rsidR="001B7D23">
          <w:rPr>
            <w:noProof/>
            <w:webHidden/>
          </w:rPr>
          <w:t>22</w:t>
        </w:r>
      </w:hyperlink>
    </w:p>
    <w:p w:rsidR="00547FF3" w:rsidRDefault="00553D84" w:rsidP="001B7D23">
      <w:pPr>
        <w:pStyle w:val="11"/>
        <w:tabs>
          <w:tab w:val="right" w:leader="dot" w:pos="9345"/>
        </w:tabs>
        <w:ind w:firstLine="0"/>
        <w:rPr>
          <w:rFonts w:asciiTheme="minorHAnsi" w:eastAsiaTheme="minorEastAsia" w:hAnsiTheme="minorHAnsi" w:cstheme="minorBidi"/>
          <w:noProof/>
          <w:sz w:val="22"/>
          <w:szCs w:val="22"/>
        </w:rPr>
      </w:pPr>
      <w:hyperlink w:anchor="_Toc514325122" w:history="1">
        <w:r w:rsidR="00547FF3" w:rsidRPr="005F70B4">
          <w:rPr>
            <w:rStyle w:val="a8"/>
            <w:noProof/>
          </w:rPr>
          <w:t>Список использованной литературы</w:t>
        </w:r>
        <w:r w:rsidR="00547FF3">
          <w:rPr>
            <w:noProof/>
            <w:webHidden/>
          </w:rPr>
          <w:tab/>
        </w:r>
        <w:r w:rsidR="001B7D23">
          <w:rPr>
            <w:noProof/>
            <w:webHidden/>
          </w:rPr>
          <w:t>23</w:t>
        </w:r>
      </w:hyperlink>
    </w:p>
    <w:p w:rsidR="000218F7" w:rsidRDefault="00547FF3" w:rsidP="001B7D23">
      <w:pPr>
        <w:pStyle w:val="a7"/>
        <w:spacing w:line="360" w:lineRule="auto"/>
      </w:pPr>
      <w:r>
        <w:rPr>
          <w:b w:val="0"/>
          <w:bCs w:val="0"/>
        </w:rPr>
        <w:fldChar w:fldCharType="end"/>
      </w:r>
    </w:p>
    <w:p w:rsidR="000218F7" w:rsidRDefault="000218F7" w:rsidP="000218F7">
      <w:pPr>
        <w:ind w:firstLine="0"/>
        <w:jc w:val="center"/>
        <w:rPr>
          <w:b/>
        </w:rPr>
      </w:pPr>
    </w:p>
    <w:p w:rsidR="000218F7" w:rsidRDefault="000218F7" w:rsidP="000218F7">
      <w:pPr>
        <w:ind w:firstLine="0"/>
        <w:jc w:val="center"/>
        <w:rPr>
          <w:b/>
        </w:rPr>
      </w:pPr>
    </w:p>
    <w:p w:rsidR="000218F7" w:rsidRDefault="000218F7" w:rsidP="000218F7">
      <w:pPr>
        <w:spacing w:line="240" w:lineRule="auto"/>
        <w:ind w:firstLine="0"/>
        <w:jc w:val="left"/>
        <w:rPr>
          <w:b/>
        </w:rPr>
      </w:pPr>
      <w:bookmarkStart w:id="1" w:name="_Toc342229901"/>
      <w:r>
        <w:br w:type="page"/>
      </w:r>
    </w:p>
    <w:p w:rsidR="000218F7" w:rsidRDefault="000218F7" w:rsidP="000218F7">
      <w:pPr>
        <w:pStyle w:val="1"/>
      </w:pPr>
      <w:bookmarkStart w:id="2" w:name="_Toc514353581"/>
      <w:r>
        <w:lastRenderedPageBreak/>
        <w:t>Введение</w:t>
      </w:r>
      <w:bookmarkEnd w:id="1"/>
      <w:bookmarkEnd w:id="2"/>
    </w:p>
    <w:p w:rsidR="000218F7" w:rsidRDefault="000218F7" w:rsidP="000218F7"/>
    <w:p w:rsidR="000218F7" w:rsidRDefault="000218F7" w:rsidP="000218F7">
      <w:r>
        <w:t>Последнее время все больший интерес проявляется к методике анализа прибыли, которая базируется на делении производственных и сбытовых затрат на переменные и постоянные и категории маржинального дохода. Она позволяет изучить зависимость прибыли от небольшого круга наиболее важных факторов и на основе этого управлять процессом формирования ее величины.</w:t>
      </w:r>
    </w:p>
    <w:p w:rsidR="000218F7" w:rsidRDefault="000218F7" w:rsidP="000218F7">
      <w:r>
        <w:t>Целью данной работы является изучение операционного анализа и закрепление полученных знаний на практике.</w:t>
      </w:r>
    </w:p>
    <w:p w:rsidR="000218F7" w:rsidRDefault="000218F7" w:rsidP="000218F7">
      <w:pPr>
        <w:spacing w:line="240" w:lineRule="auto"/>
        <w:ind w:firstLine="0"/>
        <w:jc w:val="left"/>
      </w:pPr>
    </w:p>
    <w:p w:rsidR="000218F7" w:rsidRDefault="000218F7" w:rsidP="000218F7">
      <w:pPr>
        <w:spacing w:line="240" w:lineRule="auto"/>
        <w:ind w:firstLine="0"/>
        <w:jc w:val="left"/>
        <w:rPr>
          <w:b/>
          <w:szCs w:val="20"/>
        </w:rPr>
      </w:pPr>
      <w:r>
        <w:br w:type="page"/>
      </w:r>
    </w:p>
    <w:p w:rsidR="000218F7" w:rsidRDefault="000218F7" w:rsidP="000218F7">
      <w:pPr>
        <w:pStyle w:val="1"/>
      </w:pPr>
      <w:bookmarkStart w:id="3" w:name="_Toc514353582"/>
      <w:r>
        <w:lastRenderedPageBreak/>
        <w:t>1. Эффект рычага и его использование в управлении капиталом предприятия</w:t>
      </w:r>
      <w:bookmarkEnd w:id="3"/>
    </w:p>
    <w:p w:rsidR="000218F7" w:rsidRDefault="000218F7" w:rsidP="000218F7"/>
    <w:p w:rsidR="000218F7" w:rsidRDefault="000218F7" w:rsidP="000218F7">
      <w:pPr>
        <w:shd w:val="clear" w:color="auto" w:fill="FFFFFF"/>
        <w:autoSpaceDE w:val="0"/>
        <w:ind w:firstLine="708"/>
        <w:rPr>
          <w:bCs/>
        </w:rPr>
      </w:pPr>
      <w:r>
        <w:rPr>
          <w:bCs/>
        </w:rPr>
        <w:t>Операционный анализ позволяет отслеживать, зависимость финансовых результатов бизнеса от издержек и объема производ</w:t>
      </w:r>
      <w:r>
        <w:rPr>
          <w:bCs/>
        </w:rPr>
        <w:softHyphen/>
        <w:t>ства (сбыта). Его ключевыми элементами служат операционный и финансовый рычаги, порог рентабельности и запас финансовой прочности</w:t>
      </w:r>
      <w:r>
        <w:rPr>
          <w:bCs/>
          <w:iCs/>
        </w:rPr>
        <w:t>.</w:t>
      </w:r>
      <w:r>
        <w:rPr>
          <w:bCs/>
          <w:i/>
          <w:iCs/>
        </w:rPr>
        <w:t xml:space="preserve"> </w:t>
      </w:r>
      <w:r>
        <w:rPr>
          <w:bCs/>
        </w:rPr>
        <w:t>Оценка воздействия этих элементов позволяет без составления прогностических отчетов о финансовых результатах быстро определить, какое влияние окажет изменение объема про</w:t>
      </w:r>
      <w:r>
        <w:rPr>
          <w:bCs/>
        </w:rPr>
        <w:softHyphen/>
        <w:t>даж на прибыль, налоговые и дивидендные последствия этих из</w:t>
      </w:r>
      <w:r>
        <w:rPr>
          <w:bCs/>
        </w:rPr>
        <w:softHyphen/>
        <w:t>менений, тенденции динамики финансово-хозяйственного поло</w:t>
      </w:r>
      <w:r>
        <w:rPr>
          <w:bCs/>
        </w:rPr>
        <w:softHyphen/>
        <w:t>жения предприятия и др.</w:t>
      </w:r>
    </w:p>
    <w:p w:rsidR="000218F7" w:rsidRDefault="000218F7" w:rsidP="000218F7">
      <w:pPr>
        <w:shd w:val="clear" w:color="auto" w:fill="FFFFFF"/>
        <w:autoSpaceDE w:val="0"/>
        <w:ind w:firstLine="708"/>
      </w:pPr>
      <w:r>
        <w:rPr>
          <w:bCs/>
        </w:rPr>
        <w:t>Действие операционного рычага проявляется в том, что любое изменение выручки от реализации всегда порождает более сильное изменение прибыли. Сила воздействия операционного рычага (СВОР) равна:</w:t>
      </w:r>
    </w:p>
    <w:p w:rsidR="000218F7" w:rsidRDefault="000218F7" w:rsidP="000218F7">
      <w:pPr>
        <w:shd w:val="clear" w:color="auto" w:fill="FFFFFF"/>
        <w:autoSpaceDE w:val="0"/>
        <w:rPr>
          <w:bCs/>
        </w:rPr>
      </w:pPr>
      <w:r w:rsidRPr="00B80E25">
        <w:rPr>
          <w:position w:val="-30"/>
        </w:rPr>
        <w:object w:dxaOrig="38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5pt;height:34.5pt" o:ole="" filled="t">
            <v:fill color2="black"/>
            <v:imagedata r:id="rId8" o:title=""/>
          </v:shape>
          <o:OLEObject Type="Embed" ProgID="Equation.3" ShapeID="_x0000_i1025" DrawAspect="Content" ObjectID="_1588176121" r:id="rId9"/>
        </w:object>
      </w:r>
      <w:r>
        <w:rPr>
          <w:bCs/>
        </w:rPr>
        <w:t xml:space="preserve">                                                                (1)</w:t>
      </w:r>
    </w:p>
    <w:p w:rsidR="000218F7" w:rsidRDefault="000218F7" w:rsidP="000218F7">
      <w:pPr>
        <w:shd w:val="clear" w:color="auto" w:fill="FFFFFF"/>
        <w:autoSpaceDE w:val="0"/>
        <w:ind w:firstLine="708"/>
        <w:rPr>
          <w:bCs/>
        </w:rPr>
      </w:pPr>
      <w:r>
        <w:rPr>
          <w:bCs/>
        </w:rPr>
        <w:t>СВОР зависит от относительной величины постоянных издер</w:t>
      </w:r>
      <w:r>
        <w:rPr>
          <w:bCs/>
        </w:rPr>
        <w:softHyphen/>
        <w:t>жек (ПОИ) в общей сумме издержек и предопределяет гибкость предприятия. Чем больше ПОИ, тем больше СВОР, тем чувстви</w:t>
      </w:r>
      <w:r>
        <w:rPr>
          <w:bCs/>
        </w:rPr>
        <w:softHyphen/>
        <w:t>тельнее прибыль к изменениям объема реализации и выручки от реализации. Если уровень ПОИ высок и не опускается в период падения спроса на продукцию предприятия, увеличивается пред</w:t>
      </w:r>
      <w:r>
        <w:rPr>
          <w:bCs/>
        </w:rPr>
        <w:softHyphen/>
        <w:t>принимательский риск.</w:t>
      </w:r>
    </w:p>
    <w:p w:rsidR="000218F7" w:rsidRDefault="000218F7" w:rsidP="000218F7">
      <w:pPr>
        <w:shd w:val="clear" w:color="auto" w:fill="FFFFFF"/>
        <w:autoSpaceDE w:val="0"/>
        <w:ind w:firstLine="708"/>
      </w:pPr>
      <w:r>
        <w:rPr>
          <w:bCs/>
        </w:rPr>
        <w:t>Действие финансового рычага заключается в том, что пред</w:t>
      </w:r>
      <w:r>
        <w:rPr>
          <w:bCs/>
        </w:rPr>
        <w:softHyphen/>
        <w:t>приятие, используя заемные средства, изменяет рентабельность собственных средств и свои дивидендные возможности. Сила воздействия финансового рычага (СВФР) равна:</w:t>
      </w:r>
    </w:p>
    <w:p w:rsidR="000218F7" w:rsidRDefault="000218F7" w:rsidP="000218F7">
      <w:pPr>
        <w:shd w:val="clear" w:color="auto" w:fill="FFFFFF"/>
        <w:autoSpaceDE w:val="0"/>
        <w:rPr>
          <w:bCs/>
        </w:rPr>
      </w:pPr>
      <w:r w:rsidRPr="00B80E25">
        <w:rPr>
          <w:position w:val="-30"/>
        </w:rPr>
        <w:object w:dxaOrig="3820" w:dyaOrig="680">
          <v:shape id="_x0000_i1026" type="#_x0000_t75" style="width:191.25pt;height:34.5pt" o:ole="" filled="t">
            <v:fill color2="black"/>
            <v:imagedata r:id="rId10" o:title=""/>
          </v:shape>
          <o:OLEObject Type="Embed" ProgID="Equation.3" ShapeID="_x0000_i1026" DrawAspect="Content" ObjectID="_1588176122" r:id="rId11"/>
        </w:object>
      </w:r>
      <w:r>
        <w:rPr>
          <w:bCs/>
        </w:rPr>
        <w:t xml:space="preserve">                                                                          (2)</w:t>
      </w:r>
    </w:p>
    <w:p w:rsidR="000218F7" w:rsidRDefault="000218F7" w:rsidP="000218F7">
      <w:pPr>
        <w:shd w:val="clear" w:color="auto" w:fill="FFFFFF"/>
        <w:autoSpaceDE w:val="0"/>
        <w:ind w:firstLine="708"/>
      </w:pPr>
      <w:r>
        <w:rPr>
          <w:bCs/>
        </w:rPr>
        <w:lastRenderedPageBreak/>
        <w:t>где НРЭИ - нетто-результат эксплуатации инвестиций, равный:</w:t>
      </w:r>
    </w:p>
    <w:p w:rsidR="000218F7" w:rsidRDefault="000218F7" w:rsidP="000218F7">
      <w:pPr>
        <w:shd w:val="clear" w:color="auto" w:fill="FFFFFF"/>
        <w:autoSpaceDE w:val="0"/>
        <w:rPr>
          <w:bCs/>
        </w:rPr>
      </w:pPr>
      <w:r w:rsidRPr="00510093">
        <w:rPr>
          <w:position w:val="-30"/>
        </w:rPr>
        <w:object w:dxaOrig="7020" w:dyaOrig="680">
          <v:shape id="_x0000_i1027" type="#_x0000_t75" style="width:351.75pt;height:34.5pt" o:ole="" filled="t">
            <v:fill color2="black"/>
            <v:imagedata r:id="rId12" o:title=""/>
          </v:shape>
          <o:OLEObject Type="Embed" ProgID="Equation.3" ShapeID="_x0000_i1027" DrawAspect="Content" ObjectID="_1588176123" r:id="rId13"/>
        </w:object>
      </w:r>
      <w:r>
        <w:rPr>
          <w:bCs/>
        </w:rPr>
        <w:t xml:space="preserve">                            (3)</w:t>
      </w:r>
    </w:p>
    <w:p w:rsidR="000218F7" w:rsidRPr="00B80E25" w:rsidRDefault="000218F7" w:rsidP="000218F7">
      <w:pPr>
        <w:shd w:val="clear" w:color="auto" w:fill="FFFFFF"/>
        <w:autoSpaceDE w:val="0"/>
        <w:ind w:firstLine="708"/>
        <w:rPr>
          <w:bCs/>
        </w:rPr>
      </w:pPr>
      <w:r>
        <w:rPr>
          <w:bCs/>
        </w:rPr>
        <w:t>Уровень эффекта финансового рычага (ЭФР) определяется по формуле:</w:t>
      </w:r>
    </w:p>
    <w:p w:rsidR="000218F7" w:rsidRPr="00B80E25" w:rsidRDefault="000218F7" w:rsidP="000218F7">
      <w:pPr>
        <w:shd w:val="clear" w:color="auto" w:fill="FFFFFF"/>
        <w:autoSpaceDE w:val="0"/>
        <w:rPr>
          <w:bCs/>
        </w:rPr>
      </w:pPr>
    </w:p>
    <w:p w:rsidR="000218F7" w:rsidRDefault="000218F7" w:rsidP="000218F7">
      <w:pPr>
        <w:shd w:val="clear" w:color="auto" w:fill="FFFFFF"/>
        <w:autoSpaceDE w:val="0"/>
        <w:rPr>
          <w:bCs/>
        </w:rPr>
      </w:pPr>
      <w:r>
        <w:rPr>
          <w:position w:val="-17"/>
        </w:rPr>
        <w:object w:dxaOrig="8059" w:dyaOrig="620">
          <v:shape id="_x0000_i1028" type="#_x0000_t75" style="width:403.5pt;height:31.5pt" o:ole="" filled="t">
            <v:fill color2="black"/>
            <v:imagedata r:id="rId14" o:title=""/>
          </v:shape>
          <o:OLEObject Type="Embed" ProgID="Equation.3" ShapeID="_x0000_i1028" DrawAspect="Content" ObjectID="_1588176124" r:id="rId15"/>
        </w:object>
      </w:r>
      <w:r>
        <w:rPr>
          <w:bCs/>
        </w:rPr>
        <w:t xml:space="preserve">            (4)</w:t>
      </w:r>
    </w:p>
    <w:p w:rsidR="000218F7" w:rsidRDefault="000218F7" w:rsidP="000218F7">
      <w:pPr>
        <w:shd w:val="clear" w:color="auto" w:fill="FFFFFF"/>
        <w:autoSpaceDE w:val="0"/>
        <w:rPr>
          <w:bCs/>
        </w:rPr>
      </w:pPr>
      <w:r>
        <w:rPr>
          <w:bCs/>
        </w:rPr>
        <w:t>где ЭР - экономическая рентабельность активов, равная:</w:t>
      </w:r>
    </w:p>
    <w:p w:rsidR="000218F7" w:rsidRDefault="000218F7" w:rsidP="000218F7">
      <w:pPr>
        <w:shd w:val="clear" w:color="auto" w:fill="FFFFFF"/>
        <w:autoSpaceDE w:val="0"/>
        <w:rPr>
          <w:bCs/>
        </w:rPr>
      </w:pPr>
    </w:p>
    <w:p w:rsidR="000218F7" w:rsidRDefault="000218F7" w:rsidP="000218F7">
      <w:pPr>
        <w:shd w:val="clear" w:color="auto" w:fill="FFFFFF"/>
        <w:autoSpaceDE w:val="0"/>
        <w:rPr>
          <w:bCs/>
        </w:rPr>
      </w:pPr>
      <w:r w:rsidRPr="00041B4B">
        <w:rPr>
          <w:position w:val="-24"/>
        </w:rPr>
        <w:object w:dxaOrig="1700" w:dyaOrig="620">
          <v:shape id="_x0000_i1029" type="#_x0000_t75" style="width:84.75pt;height:31.5pt" o:ole="" filled="t">
            <v:fill color2="black"/>
            <v:imagedata r:id="rId16" o:title=""/>
          </v:shape>
          <o:OLEObject Type="Embed" ProgID="Equation.3" ShapeID="_x0000_i1029" DrawAspect="Content" ObjectID="_1588176125" r:id="rId17"/>
        </w:object>
      </w:r>
      <w:r>
        <w:rPr>
          <w:bCs/>
        </w:rPr>
        <w:t xml:space="preserve">                                                                                                        (5)</w:t>
      </w:r>
    </w:p>
    <w:p w:rsidR="000218F7" w:rsidRDefault="000218F7" w:rsidP="000218F7">
      <w:pPr>
        <w:shd w:val="clear" w:color="auto" w:fill="FFFFFF"/>
        <w:autoSpaceDE w:val="0"/>
        <w:rPr>
          <w:bCs/>
        </w:rPr>
      </w:pPr>
    </w:p>
    <w:p w:rsidR="000218F7" w:rsidRDefault="000218F7" w:rsidP="000218F7">
      <w:pPr>
        <w:shd w:val="clear" w:color="auto" w:fill="FFFFFF"/>
        <w:autoSpaceDE w:val="0"/>
        <w:ind w:firstLine="720"/>
        <w:rPr>
          <w:bCs/>
        </w:rPr>
      </w:pPr>
      <w:r>
        <w:rPr>
          <w:bCs/>
        </w:rPr>
        <w:t>СРСП - средняя расчетная ставка процента, определяемая отношением фактических финансовых издержек по всем креди</w:t>
      </w:r>
      <w:r>
        <w:rPr>
          <w:bCs/>
        </w:rPr>
        <w:softHyphen/>
        <w:t>там к общей сумме заемных средств. Разница между ЭР и СРСП по заемным средствам (дифференциал финансового рычага) выражает риск кредитора: чем больше дифференциал, тем меньше риск; чем меньше дифференциал, тем риск больше. Дифференциал не должен быть отрицательным. При отрицательном дифференциале, предприятие генерирует повышенный финансовый риск. Более того, бремя финансовых из</w:t>
      </w:r>
      <w:r>
        <w:rPr>
          <w:bCs/>
        </w:rPr>
        <w:softHyphen/>
        <w:t>держек до кредитам утяжеляет ПОИ и увеличивает силу воз</w:t>
      </w:r>
      <w:r>
        <w:rPr>
          <w:bCs/>
        </w:rPr>
        <w:softHyphen/>
        <w:t>действия финансового рычага. Это означает, что предприятие подвергается также повышенному предпринимательскому риску.</w:t>
      </w:r>
    </w:p>
    <w:p w:rsidR="000218F7" w:rsidRDefault="000218F7" w:rsidP="000218F7">
      <w:pPr>
        <w:shd w:val="clear" w:color="auto" w:fill="FFFFFF"/>
        <w:autoSpaceDE w:val="0"/>
        <w:ind w:firstLine="720"/>
        <w:rPr>
          <w:bCs/>
        </w:rPr>
      </w:pPr>
      <w:r>
        <w:rPr>
          <w:bCs/>
        </w:rPr>
        <w:t>Отношение ЗС/СС (плечо рычага) характеризует силу воздей</w:t>
      </w:r>
      <w:r>
        <w:rPr>
          <w:bCs/>
        </w:rPr>
        <w:softHyphen/>
        <w:t>ствия финансового рычага на чистую прибыль, рентабельность собственных средств и величину чистой прибыли на акцию.</w:t>
      </w:r>
    </w:p>
    <w:p w:rsidR="000218F7" w:rsidRDefault="000218F7" w:rsidP="000218F7">
      <w:pPr>
        <w:shd w:val="clear" w:color="auto" w:fill="FFFFFF"/>
        <w:autoSpaceDE w:val="0"/>
        <w:ind w:firstLine="708"/>
      </w:pPr>
      <w:r>
        <w:rPr>
          <w:bCs/>
        </w:rPr>
        <w:t>Уровень сопряженного эффекта (УСЭ) операционного и финансового рычагов определяется по формуле:</w:t>
      </w:r>
    </w:p>
    <w:p w:rsidR="000218F7" w:rsidRDefault="000218F7" w:rsidP="000218F7">
      <w:pPr>
        <w:shd w:val="clear" w:color="auto" w:fill="FFFFFF"/>
        <w:autoSpaceDE w:val="0"/>
        <w:rPr>
          <w:bCs/>
        </w:rPr>
      </w:pPr>
      <w:r>
        <w:rPr>
          <w:position w:val="1"/>
        </w:rPr>
        <w:object w:dxaOrig="2240" w:dyaOrig="279">
          <v:shape id="_x0000_i1030" type="#_x0000_t75" style="width:112.5pt;height:13.5pt" o:ole="" filled="t">
            <v:fill color2="black"/>
            <v:imagedata r:id="rId18" o:title=""/>
          </v:shape>
          <o:OLEObject Type="Embed" ProgID="Equation.3" ShapeID="_x0000_i1030" DrawAspect="Content" ObjectID="_1588176126" r:id="rId19"/>
        </w:object>
      </w:r>
      <w:r>
        <w:rPr>
          <w:bCs/>
        </w:rPr>
        <w:t xml:space="preserve">                                                                                                (6)</w:t>
      </w:r>
    </w:p>
    <w:p w:rsidR="000218F7" w:rsidRDefault="000218F7" w:rsidP="000218F7">
      <w:pPr>
        <w:shd w:val="clear" w:color="auto" w:fill="FFFFFF"/>
        <w:autoSpaceDE w:val="0"/>
        <w:ind w:firstLine="708"/>
        <w:rPr>
          <w:bCs/>
        </w:rPr>
      </w:pPr>
      <w:r>
        <w:rPr>
          <w:bCs/>
        </w:rPr>
        <w:t>УСЭ указывает на уровень совокупного риска и отвечает на вопрос, на сколько процентов изменится чистая прибыль на акцию при изменении выручки от реализации на 1%.</w:t>
      </w:r>
    </w:p>
    <w:p w:rsidR="000218F7" w:rsidRDefault="000218F7" w:rsidP="000218F7">
      <w:pPr>
        <w:shd w:val="clear" w:color="auto" w:fill="FFFFFF"/>
        <w:autoSpaceDE w:val="0"/>
        <w:ind w:firstLine="708"/>
      </w:pPr>
      <w:r>
        <w:rPr>
          <w:bCs/>
        </w:rPr>
        <w:t xml:space="preserve">Порог рентабельности (точка безубыточности) позволяет вычислить такую </w:t>
      </w:r>
      <w:r>
        <w:t xml:space="preserve">сумму (количество) </w:t>
      </w:r>
      <w:r>
        <w:rPr>
          <w:bCs/>
        </w:rPr>
        <w:t>продаж, при котором приход равен расходу:</w:t>
      </w:r>
    </w:p>
    <w:p w:rsidR="000218F7" w:rsidRDefault="000218F7" w:rsidP="000218F7">
      <w:pPr>
        <w:shd w:val="clear" w:color="auto" w:fill="FFFFFF"/>
        <w:autoSpaceDE w:val="0"/>
        <w:rPr>
          <w:bCs/>
        </w:rPr>
      </w:pPr>
      <w:r>
        <w:rPr>
          <w:position w:val="-17"/>
        </w:rPr>
        <w:object w:dxaOrig="4000" w:dyaOrig="620">
          <v:shape id="_x0000_i1031" type="#_x0000_t75" style="width:199.5pt;height:31.5pt" o:ole="" filled="t">
            <v:fill color2="black"/>
            <v:imagedata r:id="rId20" o:title=""/>
          </v:shape>
          <o:OLEObject Type="Embed" ProgID="Equation.3" ShapeID="_x0000_i1031" DrawAspect="Content" ObjectID="_1588176127" r:id="rId21"/>
        </w:object>
      </w:r>
      <w:r>
        <w:rPr>
          <w:bCs/>
        </w:rPr>
        <w:t xml:space="preserve">                                                                       (7)</w:t>
      </w:r>
    </w:p>
    <w:p w:rsidR="000218F7" w:rsidRDefault="000218F7" w:rsidP="000218F7">
      <w:pPr>
        <w:shd w:val="clear" w:color="auto" w:fill="FFFFFF"/>
        <w:autoSpaceDE w:val="0"/>
        <w:rPr>
          <w:bCs/>
        </w:rPr>
      </w:pPr>
      <w:r>
        <w:rPr>
          <w:bCs/>
        </w:rPr>
        <w:t>где ПОИ - постоянные издержки, руб.;</w:t>
      </w:r>
    </w:p>
    <w:p w:rsidR="000218F7" w:rsidRDefault="000218F7" w:rsidP="000218F7">
      <w:pPr>
        <w:shd w:val="clear" w:color="auto" w:fill="FFFFFF"/>
        <w:autoSpaceDE w:val="0"/>
        <w:rPr>
          <w:bCs/>
        </w:rPr>
      </w:pPr>
      <w:r>
        <w:rPr>
          <w:bCs/>
        </w:rPr>
        <w:t xml:space="preserve">      ВМ - валовая маржа в относительном выражении к выручке от реализации.</w:t>
      </w:r>
    </w:p>
    <w:p w:rsidR="000218F7" w:rsidRDefault="000218F7" w:rsidP="000218F7">
      <w:pPr>
        <w:shd w:val="clear" w:color="auto" w:fill="FFFFFF"/>
        <w:autoSpaceDE w:val="0"/>
        <w:ind w:firstLine="708"/>
        <w:rPr>
          <w:bCs/>
        </w:rPr>
      </w:pPr>
      <w:r>
        <w:rPr>
          <w:bCs/>
        </w:rPr>
        <w:t xml:space="preserve">С низким порогом рентабельности легче пережить падение спроса, отказаться от неоправданно высокой цены реализации. </w:t>
      </w:r>
    </w:p>
    <w:p w:rsidR="000218F7" w:rsidRDefault="000218F7" w:rsidP="000218F7">
      <w:pPr>
        <w:shd w:val="clear" w:color="auto" w:fill="FFFFFF"/>
        <w:autoSpaceDE w:val="0"/>
        <w:ind w:firstLine="708"/>
      </w:pPr>
      <w:r>
        <w:rPr>
          <w:bCs/>
        </w:rPr>
        <w:t>Пороговое количество товара определяется по формуле:</w:t>
      </w:r>
    </w:p>
    <w:p w:rsidR="000218F7" w:rsidRDefault="000218F7" w:rsidP="000218F7">
      <w:pPr>
        <w:shd w:val="clear" w:color="auto" w:fill="FFFFFF"/>
        <w:autoSpaceDE w:val="0"/>
        <w:rPr>
          <w:bCs/>
        </w:rPr>
      </w:pPr>
      <w:r>
        <w:rPr>
          <w:position w:val="-19"/>
        </w:rPr>
        <w:object w:dxaOrig="5360" w:dyaOrig="660">
          <v:shape id="_x0000_i1032" type="#_x0000_t75" style="width:268.5pt;height:33pt" o:ole="" filled="t">
            <v:fill color2="black"/>
            <v:imagedata r:id="rId22" o:title=""/>
          </v:shape>
          <o:OLEObject Type="Embed" ProgID="Equation.3" ShapeID="_x0000_i1032" DrawAspect="Content" ObjectID="_1588176128" r:id="rId23"/>
        </w:object>
      </w:r>
      <w:r>
        <w:rPr>
          <w:bCs/>
        </w:rPr>
        <w:t xml:space="preserve">                                                   (8)</w:t>
      </w:r>
    </w:p>
    <w:p w:rsidR="000218F7" w:rsidRDefault="000218F7" w:rsidP="000218F7">
      <w:pPr>
        <w:shd w:val="clear" w:color="auto" w:fill="FFFFFF"/>
        <w:autoSpaceDE w:val="0"/>
        <w:rPr>
          <w:bCs/>
        </w:rPr>
      </w:pPr>
      <w:r>
        <w:rPr>
          <w:bCs/>
        </w:rPr>
        <w:t>где Ц - цена за единицу товара, руб.;</w:t>
      </w:r>
    </w:p>
    <w:p w:rsidR="000218F7" w:rsidRDefault="000218F7" w:rsidP="000218F7">
      <w:pPr>
        <w:shd w:val="clear" w:color="auto" w:fill="FFFFFF"/>
        <w:autoSpaceDE w:val="0"/>
        <w:ind w:firstLine="360"/>
        <w:rPr>
          <w:bCs/>
        </w:rPr>
      </w:pPr>
      <w:r>
        <w:rPr>
          <w:bCs/>
        </w:rPr>
        <w:t xml:space="preserve">СПИ - средние переменные издержки на единицу товара, руб. </w:t>
      </w:r>
    </w:p>
    <w:p w:rsidR="000218F7" w:rsidRDefault="000218F7" w:rsidP="000218F7">
      <w:pPr>
        <w:shd w:val="clear" w:color="auto" w:fill="FFFFFF"/>
        <w:autoSpaceDE w:val="0"/>
        <w:ind w:firstLine="360"/>
      </w:pPr>
      <w:r>
        <w:rPr>
          <w:bCs/>
        </w:rPr>
        <w:t>Запас финансовой прочности (ЗФП) представляет собой превышение фактической выручки от реализации над порогом рентабельности, т.е.</w:t>
      </w:r>
    </w:p>
    <w:p w:rsidR="000218F7" w:rsidRDefault="000218F7" w:rsidP="000218F7">
      <w:pPr>
        <w:shd w:val="clear" w:color="auto" w:fill="FFFFFF"/>
        <w:autoSpaceDE w:val="0"/>
        <w:rPr>
          <w:bCs/>
        </w:rPr>
      </w:pPr>
      <w:r>
        <w:rPr>
          <w:position w:val="-19"/>
        </w:rPr>
        <w:object w:dxaOrig="5340" w:dyaOrig="660">
          <v:shape id="_x0000_i1033" type="#_x0000_t75" style="width:267pt;height:33pt" o:ole="" filled="t">
            <v:fill color2="black"/>
            <v:imagedata r:id="rId24" o:title=""/>
          </v:shape>
          <o:OLEObject Type="Embed" ProgID="Equation.3" ShapeID="_x0000_i1033" DrawAspect="Content" ObjectID="_1588176129" r:id="rId25"/>
        </w:object>
      </w:r>
      <w:r>
        <w:rPr>
          <w:bCs/>
        </w:rPr>
        <w:t xml:space="preserve">                                                   (9)</w:t>
      </w:r>
    </w:p>
    <w:p w:rsidR="00C956D8" w:rsidRDefault="00C956D8" w:rsidP="000218F7"/>
    <w:p w:rsidR="00C956D8" w:rsidRDefault="00C956D8" w:rsidP="000218F7"/>
    <w:p w:rsidR="00C956D8" w:rsidRDefault="00C956D8" w:rsidP="000218F7"/>
    <w:p w:rsidR="00C956D8" w:rsidRDefault="00C956D8" w:rsidP="000218F7"/>
    <w:p w:rsidR="00C956D8" w:rsidRDefault="00C956D8" w:rsidP="000218F7"/>
    <w:p w:rsidR="00C956D8" w:rsidRDefault="00C956D8" w:rsidP="00C956D8">
      <w:pPr>
        <w:jc w:val="center"/>
        <w:rPr>
          <w:b/>
        </w:rPr>
      </w:pPr>
      <w:r w:rsidRPr="00C956D8">
        <w:rPr>
          <w:b/>
        </w:rPr>
        <w:lastRenderedPageBreak/>
        <w:t>2.Оценка операционного рычага</w:t>
      </w:r>
    </w:p>
    <w:p w:rsidR="00C956D8" w:rsidRPr="00C956D8" w:rsidRDefault="00C956D8" w:rsidP="00C956D8">
      <w:pPr>
        <w:jc w:val="center"/>
        <w:rPr>
          <w:b/>
        </w:rPr>
      </w:pPr>
    </w:p>
    <w:p w:rsidR="000218F7" w:rsidRDefault="000218F7" w:rsidP="000218F7">
      <w:r>
        <w:t>Предприятие, выпускающее продукцию А, рассматривает возможность дополнительного выпуска еще одного из двух наименований новых изделий В или С.</w:t>
      </w:r>
    </w:p>
    <w:p w:rsidR="000218F7" w:rsidRDefault="000218F7" w:rsidP="000218F7">
      <w:r>
        <w:t>Необходимо определить наиболее выгодный вид продукции по исходным данным табл. 1, используя элементы операционного анализа.</w:t>
      </w:r>
    </w:p>
    <w:p w:rsidR="000218F7" w:rsidRDefault="000218F7" w:rsidP="00AE2E42">
      <w:pPr>
        <w:shd w:val="clear" w:color="auto" w:fill="FFFFFF"/>
        <w:autoSpaceDE w:val="0"/>
        <w:ind w:firstLine="708"/>
        <w:rPr>
          <w:color w:val="000000"/>
          <w:sz w:val="24"/>
        </w:rPr>
      </w:pPr>
      <w:r>
        <w:t>Таблица 1. Исходные данные</w:t>
      </w:r>
    </w:p>
    <w:tbl>
      <w:tblPr>
        <w:tblW w:w="8160" w:type="dxa"/>
        <w:tblInd w:w="93" w:type="dxa"/>
        <w:tblLook w:val="04A0" w:firstRow="1" w:lastRow="0" w:firstColumn="1" w:lastColumn="0" w:noHBand="0" w:noVBand="1"/>
      </w:tblPr>
      <w:tblGrid>
        <w:gridCol w:w="4956"/>
        <w:gridCol w:w="1068"/>
        <w:gridCol w:w="1068"/>
        <w:gridCol w:w="1068"/>
      </w:tblGrid>
      <w:tr w:rsidR="00AE2E42" w:rsidRPr="00AE2E42" w:rsidTr="00547FF3">
        <w:trPr>
          <w:trHeight w:val="624"/>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Показатели</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Изделие А</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Изделие В</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Изделие С</w:t>
            </w:r>
          </w:p>
        </w:tc>
      </w:tr>
      <w:tr w:rsidR="00AE2E42" w:rsidRPr="00AE2E42" w:rsidTr="00547FF3">
        <w:trPr>
          <w:trHeight w:val="384"/>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Объем реализации ОР, шт.</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900</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750</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910</w:t>
            </w:r>
          </w:p>
        </w:tc>
      </w:tr>
      <w:tr w:rsidR="00AE2E42" w:rsidRPr="00AE2E42" w:rsidTr="00547FF3">
        <w:trPr>
          <w:trHeight w:val="384"/>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Цена Ц, тыс. руб.</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1840</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2240</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2025</w:t>
            </w:r>
          </w:p>
        </w:tc>
      </w:tr>
      <w:tr w:rsidR="00AE2E42" w:rsidRPr="00AE2E42" w:rsidTr="00547FF3">
        <w:trPr>
          <w:trHeight w:val="384"/>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Себестоимость С, тыс. руб., в т.ч.</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1710</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2030</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1820</w:t>
            </w:r>
          </w:p>
        </w:tc>
      </w:tr>
      <w:tr w:rsidR="00AE2E42" w:rsidRPr="00AE2E42" w:rsidTr="00547FF3">
        <w:trPr>
          <w:trHeight w:val="384"/>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 переменные издержки СПИ, тыс. руб.</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1215</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1415</w:t>
            </w:r>
          </w:p>
        </w:tc>
        <w:tc>
          <w:tcPr>
            <w:tcW w:w="960" w:type="dxa"/>
            <w:tcBorders>
              <w:top w:val="nil"/>
              <w:left w:val="nil"/>
              <w:bottom w:val="single" w:sz="4" w:space="0" w:color="auto"/>
              <w:right w:val="single" w:sz="4" w:space="0" w:color="auto"/>
            </w:tcBorders>
            <w:shd w:val="clear" w:color="000000" w:fill="FFFFFF"/>
            <w:vAlign w:val="center"/>
            <w:hideMark/>
          </w:tcPr>
          <w:p w:rsidR="00AE2E42" w:rsidRPr="00AE2E42" w:rsidRDefault="00AE2E42" w:rsidP="00547FF3">
            <w:pPr>
              <w:spacing w:line="240" w:lineRule="auto"/>
              <w:ind w:firstLine="0"/>
              <w:jc w:val="center"/>
              <w:rPr>
                <w:color w:val="000000"/>
                <w:sz w:val="24"/>
              </w:rPr>
            </w:pPr>
            <w:r w:rsidRPr="00AE2E42">
              <w:rPr>
                <w:rFonts w:eastAsia="Arial"/>
                <w:color w:val="000000"/>
                <w:sz w:val="24"/>
              </w:rPr>
              <w:t>1320</w:t>
            </w:r>
          </w:p>
        </w:tc>
      </w:tr>
      <w:tr w:rsidR="00AE2E42" w:rsidRPr="00AE2E42" w:rsidTr="00547FF3">
        <w:trPr>
          <w:trHeight w:val="384"/>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Постоянные издержки ПОИ, млн. руб.</w:t>
            </w:r>
          </w:p>
        </w:tc>
        <w:tc>
          <w:tcPr>
            <w:tcW w:w="9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500</w:t>
            </w:r>
          </w:p>
        </w:tc>
        <w:tc>
          <w:tcPr>
            <w:tcW w:w="9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504</w:t>
            </w:r>
          </w:p>
        </w:tc>
        <w:tc>
          <w:tcPr>
            <w:tcW w:w="9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500</w:t>
            </w:r>
          </w:p>
        </w:tc>
      </w:tr>
    </w:tbl>
    <w:p w:rsidR="00AE2E42" w:rsidRDefault="00AE2E42" w:rsidP="00AE2E42">
      <w:pPr>
        <w:shd w:val="clear" w:color="auto" w:fill="FFFFFF"/>
        <w:autoSpaceDE w:val="0"/>
        <w:ind w:firstLine="708"/>
      </w:pPr>
    </w:p>
    <w:p w:rsidR="000218F7" w:rsidRDefault="000218F7" w:rsidP="000218F7">
      <w:pPr>
        <w:shd w:val="clear" w:color="auto" w:fill="FFFFFF"/>
        <w:autoSpaceDE w:val="0"/>
        <w:ind w:firstLine="708"/>
      </w:pPr>
    </w:p>
    <w:p w:rsidR="000218F7" w:rsidRDefault="000218F7" w:rsidP="000218F7">
      <w:pPr>
        <w:shd w:val="clear" w:color="auto" w:fill="FFFFFF"/>
        <w:autoSpaceDE w:val="0"/>
        <w:ind w:firstLine="708"/>
      </w:pPr>
      <w:r>
        <w:t>1. Рассчитаем финансовые результаты: выручку от реализации (ВР), валовую маржу (ВМ) и чистую прибыль (ЧП) (табл. 2, рис. 1).</w:t>
      </w:r>
    </w:p>
    <w:p w:rsidR="000218F7" w:rsidRDefault="000218F7" w:rsidP="00AE2E42">
      <w:pPr>
        <w:shd w:val="clear" w:color="auto" w:fill="FFFFFF"/>
        <w:autoSpaceDE w:val="0"/>
        <w:ind w:firstLine="708"/>
        <w:rPr>
          <w:color w:val="000000"/>
          <w:sz w:val="24"/>
        </w:rPr>
      </w:pPr>
      <w:r>
        <w:t>Таблица 2. Расчет финансовых результатов предприятия</w:t>
      </w:r>
    </w:p>
    <w:tbl>
      <w:tblPr>
        <w:tblW w:w="9215" w:type="dxa"/>
        <w:tblInd w:w="93" w:type="dxa"/>
        <w:tblLook w:val="04A0" w:firstRow="1" w:lastRow="0" w:firstColumn="1" w:lastColumn="0" w:noHBand="0" w:noVBand="1"/>
      </w:tblPr>
      <w:tblGrid>
        <w:gridCol w:w="4835"/>
        <w:gridCol w:w="1460"/>
        <w:gridCol w:w="1460"/>
        <w:gridCol w:w="1460"/>
      </w:tblGrid>
      <w:tr w:rsidR="00AE2E42" w:rsidRPr="00AE2E42" w:rsidTr="00AE2E42">
        <w:trPr>
          <w:trHeight w:val="312"/>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Показатели</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Изделие А</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Изделие В</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Изделие С</w:t>
            </w:r>
          </w:p>
        </w:tc>
      </w:tr>
      <w:tr w:rsidR="00AE2E42" w:rsidRPr="00AE2E42" w:rsidTr="00AE2E42">
        <w:trPr>
          <w:trHeight w:val="62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Выручка от реализации ВР = Ц х ОР, млн. руб.</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1656,0</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1680,0</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1842,8</w:t>
            </w:r>
          </w:p>
        </w:tc>
      </w:tr>
      <w:tr w:rsidR="00AE2E42" w:rsidRPr="00AE2E42" w:rsidTr="00AE2E42">
        <w:trPr>
          <w:trHeight w:val="612"/>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Переменные издержки ПИ = СПИ х ОР, млн. руб.</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1093,5</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1061,3</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1201,2</w:t>
            </w:r>
          </w:p>
        </w:tc>
      </w:tr>
      <w:tr w:rsidR="00AE2E42" w:rsidRPr="00AE2E42" w:rsidTr="00AE2E42">
        <w:trPr>
          <w:trHeight w:val="27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Валовая маржа ВМ = ВР – ПИ, млн. руб.</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562,5</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618,8</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641,6</w:t>
            </w:r>
          </w:p>
        </w:tc>
      </w:tr>
      <w:tr w:rsidR="00AE2E42" w:rsidRPr="00AE2E42" w:rsidTr="00AE2E42">
        <w:trPr>
          <w:trHeight w:val="548"/>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Валовая маржа в относительном выражении к выручке ВМотн = ВМ / ВР</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0,34</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0,37</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0,35</w:t>
            </w:r>
          </w:p>
        </w:tc>
      </w:tr>
      <w:tr w:rsidR="00AE2E42" w:rsidRPr="00AE2E42" w:rsidTr="00AE2E42">
        <w:trPr>
          <w:trHeight w:val="272"/>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Постоянные издержки ПОИ, млн. руб.</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500,0</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504,0</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500,0</w:t>
            </w:r>
          </w:p>
        </w:tc>
      </w:tr>
      <w:tr w:rsidR="00AE2E42" w:rsidRPr="00AE2E42" w:rsidTr="00AE2E42">
        <w:trPr>
          <w:trHeight w:val="612"/>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Прибыль до налогообложения БП = ВМ – ПОИ, млн. рб.</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62,5</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114,8</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141,6</w:t>
            </w:r>
          </w:p>
        </w:tc>
      </w:tr>
      <w:tr w:rsidR="00AE2E42" w:rsidRPr="00AE2E42" w:rsidTr="00AE2E42">
        <w:trPr>
          <w:trHeight w:val="312"/>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Ставка налогообложения СНО, %</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20,0</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20,0</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20,0</w:t>
            </w:r>
          </w:p>
        </w:tc>
      </w:tr>
      <w:tr w:rsidR="00AE2E42" w:rsidRPr="00AE2E42" w:rsidTr="00AE2E42">
        <w:trPr>
          <w:trHeight w:val="612"/>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Налог на прибыль НП = СНО х БП / 100, млн. руб.</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12,5</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23,0</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28,3</w:t>
            </w:r>
          </w:p>
        </w:tc>
      </w:tr>
      <w:tr w:rsidR="00AE2E42" w:rsidRPr="00AE2E42" w:rsidTr="00AE2E42">
        <w:trPr>
          <w:trHeight w:val="27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Чистая прибыль ЧП = БП – НП, млн. руб.</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50,0</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91,8</w:t>
            </w:r>
          </w:p>
        </w:tc>
        <w:tc>
          <w:tcPr>
            <w:tcW w:w="146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113,2</w:t>
            </w:r>
          </w:p>
        </w:tc>
      </w:tr>
    </w:tbl>
    <w:p w:rsidR="00AE2E42" w:rsidRDefault="00AE2E42" w:rsidP="00AE2E42">
      <w:pPr>
        <w:shd w:val="clear" w:color="auto" w:fill="FFFFFF"/>
        <w:autoSpaceDE w:val="0"/>
        <w:ind w:firstLine="708"/>
      </w:pPr>
    </w:p>
    <w:p w:rsidR="000218F7" w:rsidRDefault="000218F7" w:rsidP="000218F7">
      <w:pPr>
        <w:shd w:val="clear" w:color="auto" w:fill="FFFFFF"/>
        <w:autoSpaceDE w:val="0"/>
        <w:ind w:firstLine="708"/>
        <w:rPr>
          <w:color w:val="000000"/>
          <w:sz w:val="24"/>
        </w:rPr>
      </w:pPr>
    </w:p>
    <w:p w:rsidR="000218F7" w:rsidRDefault="00AE2E42" w:rsidP="00AE2E42">
      <w:pPr>
        <w:shd w:val="clear" w:color="auto" w:fill="FFFFFF"/>
        <w:autoSpaceDE w:val="0"/>
        <w:ind w:firstLine="0"/>
        <w:jc w:val="center"/>
      </w:pPr>
      <w:r>
        <w:rPr>
          <w:noProof/>
        </w:rPr>
        <w:lastRenderedPageBreak/>
        <w:drawing>
          <wp:inline distT="0" distB="0" distL="0" distR="0" wp14:anchorId="2752D61D" wp14:editId="2B2E19D5">
            <wp:extent cx="5143500" cy="3242310"/>
            <wp:effectExtent l="0" t="0" r="1905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218F7" w:rsidRDefault="000218F7" w:rsidP="000218F7">
      <w:pPr>
        <w:shd w:val="clear" w:color="auto" w:fill="FFFFFF"/>
        <w:autoSpaceDE w:val="0"/>
        <w:ind w:firstLine="708"/>
        <w:jc w:val="center"/>
      </w:pPr>
      <w:r>
        <w:t>Рис. 1 - Построение выручки от реализации продукции</w:t>
      </w:r>
    </w:p>
    <w:p w:rsidR="000218F7" w:rsidRDefault="000218F7" w:rsidP="000218F7">
      <w:pPr>
        <w:shd w:val="clear" w:color="auto" w:fill="FFFFFF"/>
        <w:autoSpaceDE w:val="0"/>
        <w:ind w:firstLine="708"/>
        <w:jc w:val="center"/>
      </w:pPr>
    </w:p>
    <w:p w:rsidR="000218F7" w:rsidRDefault="000218F7" w:rsidP="000218F7">
      <w:pPr>
        <w:shd w:val="clear" w:color="auto" w:fill="FFFFFF"/>
        <w:autoSpaceDE w:val="0"/>
        <w:ind w:firstLine="708"/>
      </w:pPr>
      <w:r>
        <w:t>2. Рассчитаем порог рентабельности (ПР) по формуле (7).</w:t>
      </w:r>
    </w:p>
    <w:p w:rsidR="000218F7" w:rsidRDefault="000218F7" w:rsidP="000218F7">
      <w:pPr>
        <w:shd w:val="clear" w:color="auto" w:fill="FFFFFF"/>
        <w:autoSpaceDE w:val="0"/>
        <w:ind w:firstLine="708"/>
      </w:pPr>
      <w:r>
        <w:t>3. Определим пороговое количество товаров (ПКТ) по формуле (8).</w:t>
      </w:r>
    </w:p>
    <w:p w:rsidR="000218F7" w:rsidRDefault="000218F7" w:rsidP="000218F7">
      <w:pPr>
        <w:shd w:val="clear" w:color="auto" w:fill="FFFFFF"/>
        <w:autoSpaceDE w:val="0"/>
        <w:ind w:firstLine="708"/>
      </w:pPr>
      <w:r>
        <w:t>4. Найдем запас финансовой прочности (ЗФП) по формуле (9).</w:t>
      </w:r>
    </w:p>
    <w:p w:rsidR="000218F7" w:rsidRDefault="000218F7" w:rsidP="000218F7">
      <w:pPr>
        <w:shd w:val="clear" w:color="auto" w:fill="FFFFFF"/>
        <w:autoSpaceDE w:val="0"/>
        <w:ind w:firstLine="708"/>
      </w:pPr>
      <w:r>
        <w:t>5. Определим силу воздействия финансового рычага (СВОР) по формуле (1).</w:t>
      </w:r>
    </w:p>
    <w:p w:rsidR="000218F7" w:rsidRDefault="000218F7" w:rsidP="000218F7">
      <w:pPr>
        <w:shd w:val="clear" w:color="auto" w:fill="FFFFFF"/>
        <w:autoSpaceDE w:val="0"/>
        <w:ind w:firstLine="708"/>
      </w:pPr>
      <w:r>
        <w:t>Полученные результаты сведем в табл. 3., рис. 2.</w:t>
      </w:r>
    </w:p>
    <w:p w:rsidR="000218F7" w:rsidRDefault="000218F7" w:rsidP="00AE2E42">
      <w:pPr>
        <w:shd w:val="clear" w:color="auto" w:fill="FFFFFF"/>
        <w:autoSpaceDE w:val="0"/>
        <w:ind w:firstLine="708"/>
        <w:rPr>
          <w:color w:val="000000"/>
          <w:sz w:val="24"/>
        </w:rPr>
      </w:pPr>
      <w:r>
        <w:t>Таблица 3. Текущие финансовые результаты и показатели предприятия</w:t>
      </w:r>
    </w:p>
    <w:tbl>
      <w:tblPr>
        <w:tblW w:w="9100" w:type="dxa"/>
        <w:tblInd w:w="93" w:type="dxa"/>
        <w:tblLook w:val="04A0" w:firstRow="1" w:lastRow="0" w:firstColumn="1" w:lastColumn="0" w:noHBand="0" w:noVBand="1"/>
      </w:tblPr>
      <w:tblGrid>
        <w:gridCol w:w="5260"/>
        <w:gridCol w:w="1280"/>
        <w:gridCol w:w="1280"/>
        <w:gridCol w:w="1280"/>
      </w:tblGrid>
      <w:tr w:rsidR="00AE2E42" w:rsidRPr="00AE2E42" w:rsidTr="00AE2E42">
        <w:trPr>
          <w:trHeight w:val="312"/>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Показатели</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Изделие А</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Изделие В</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Изделие С</w:t>
            </w:r>
          </w:p>
        </w:tc>
      </w:tr>
      <w:tr w:rsidR="00AE2E42" w:rsidRPr="00AE2E42" w:rsidTr="00AE2E42">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Порог рентабельности ПР = ПОИ / ВМотн, млн. руб.</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1472,0</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1368,4</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1436,2</w:t>
            </w:r>
          </w:p>
        </w:tc>
      </w:tr>
      <w:tr w:rsidR="00AE2E42" w:rsidRPr="00AE2E42" w:rsidTr="00AE2E42">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Пороговое количество товара ПКТ = ПОИ / (Ц – СПИ), шт.</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800,0</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610,9</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709,2</w:t>
            </w:r>
          </w:p>
        </w:tc>
      </w:tr>
      <w:tr w:rsidR="00AE2E42" w:rsidRPr="00AE2E42" w:rsidTr="00AE2E42">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 xml:space="preserve">Запас финансовой прочности ЗФП = ВР – ПР, млн. руб. </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184,0</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311,6</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406,6</w:t>
            </w:r>
          </w:p>
        </w:tc>
      </w:tr>
      <w:tr w:rsidR="00AE2E42" w:rsidRPr="00AE2E42" w:rsidTr="00AE2E42">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ЗФП = (ВР – ПР) / ВР х 100, %</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11,1</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18,5</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22,1</w:t>
            </w:r>
          </w:p>
        </w:tc>
      </w:tr>
      <w:tr w:rsidR="00AE2E42" w:rsidRPr="00AE2E42" w:rsidTr="00AE2E42">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Сила воздействия операционного рычага СВОР = ВМ / БП</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9,0</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5,4</w:t>
            </w:r>
          </w:p>
        </w:tc>
        <w:tc>
          <w:tcPr>
            <w:tcW w:w="1280" w:type="dxa"/>
            <w:tcBorders>
              <w:top w:val="nil"/>
              <w:left w:val="nil"/>
              <w:bottom w:val="single" w:sz="4" w:space="0" w:color="auto"/>
              <w:right w:val="single" w:sz="4" w:space="0" w:color="auto"/>
            </w:tcBorders>
            <w:shd w:val="clear" w:color="auto" w:fill="auto"/>
            <w:noWrap/>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4,5</w:t>
            </w:r>
          </w:p>
        </w:tc>
      </w:tr>
    </w:tbl>
    <w:p w:rsidR="00AE2E42" w:rsidRDefault="00AE2E42" w:rsidP="00AE2E42">
      <w:pPr>
        <w:shd w:val="clear" w:color="auto" w:fill="FFFFFF"/>
        <w:autoSpaceDE w:val="0"/>
        <w:ind w:firstLine="708"/>
        <w:rPr>
          <w:color w:val="000000"/>
          <w:sz w:val="24"/>
        </w:rPr>
      </w:pPr>
    </w:p>
    <w:p w:rsidR="000218F7" w:rsidRDefault="00AE2E42" w:rsidP="000218F7">
      <w:pPr>
        <w:shd w:val="clear" w:color="auto" w:fill="FFFFFF"/>
        <w:autoSpaceDE w:val="0"/>
        <w:ind w:firstLine="0"/>
        <w:jc w:val="center"/>
        <w:rPr>
          <w:color w:val="000000"/>
          <w:sz w:val="24"/>
        </w:rPr>
      </w:pPr>
      <w:r>
        <w:rPr>
          <w:noProof/>
        </w:rPr>
        <w:lastRenderedPageBreak/>
        <w:drawing>
          <wp:inline distT="0" distB="0" distL="0" distR="0" wp14:anchorId="656B5A9E" wp14:editId="6FA74239">
            <wp:extent cx="4572000" cy="27432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0218F7" w:rsidRDefault="000218F7" w:rsidP="000218F7">
      <w:pPr>
        <w:shd w:val="clear" w:color="auto" w:fill="FFFFFF"/>
        <w:autoSpaceDE w:val="0"/>
        <w:ind w:firstLine="708"/>
        <w:rPr>
          <w:bCs/>
        </w:rPr>
      </w:pPr>
      <w:r>
        <w:rPr>
          <w:bCs/>
        </w:rPr>
        <w:t xml:space="preserve">Рис. 2 - </w:t>
      </w:r>
      <w:r>
        <w:t>Текущие финансовые результаты и показатели предприятия</w:t>
      </w:r>
    </w:p>
    <w:p w:rsidR="000218F7" w:rsidRDefault="000218F7" w:rsidP="000218F7">
      <w:pPr>
        <w:shd w:val="clear" w:color="auto" w:fill="FFFFFF"/>
        <w:autoSpaceDE w:val="0"/>
        <w:ind w:firstLine="708"/>
        <w:rPr>
          <w:bCs/>
        </w:rPr>
      </w:pPr>
    </w:p>
    <w:p w:rsidR="000218F7" w:rsidRDefault="000218F7" w:rsidP="000218F7">
      <w:pPr>
        <w:shd w:val="clear" w:color="auto" w:fill="FFFFFF"/>
        <w:autoSpaceDE w:val="0"/>
        <w:ind w:firstLine="708"/>
        <w:rPr>
          <w:bCs/>
        </w:rPr>
      </w:pPr>
      <w:r>
        <w:rPr>
          <w:bCs/>
        </w:rPr>
        <w:t>Решая вопрос, какому из товаров ассортимента отдать предпочтение, а производство какого товара сократить, следует учитывать:</w:t>
      </w:r>
    </w:p>
    <w:p w:rsidR="000218F7" w:rsidRDefault="000218F7" w:rsidP="000218F7">
      <w:pPr>
        <w:shd w:val="clear" w:color="auto" w:fill="FFFFFF"/>
        <w:autoSpaceDE w:val="0"/>
        <w:ind w:firstLine="708"/>
        <w:rPr>
          <w:bCs/>
        </w:rPr>
      </w:pPr>
      <w:r>
        <w:rPr>
          <w:bCs/>
        </w:rPr>
        <w:t>во-первых, чем больше валовая маржа, тем больше масса и благоприятнее динамика  прибыли;</w:t>
      </w:r>
    </w:p>
    <w:p w:rsidR="000218F7" w:rsidRDefault="000218F7" w:rsidP="000218F7">
      <w:pPr>
        <w:shd w:val="clear" w:color="auto" w:fill="FFFFFF"/>
        <w:autoSpaceDE w:val="0"/>
        <w:ind w:firstLine="708"/>
        <w:rPr>
          <w:bCs/>
        </w:rPr>
      </w:pPr>
      <w:r>
        <w:rPr>
          <w:bCs/>
        </w:rPr>
        <w:t>во-вторых, производство и сбыт товара всегда связан с ограничивающими  факторами,  зависящими  от характера  бизнеса, внешней среды и возможностями предприятия.</w:t>
      </w:r>
    </w:p>
    <w:p w:rsidR="000218F7" w:rsidRDefault="000218F7" w:rsidP="000218F7">
      <w:pPr>
        <w:shd w:val="clear" w:color="auto" w:fill="FFFFFF"/>
        <w:autoSpaceDE w:val="0"/>
        <w:ind w:firstLine="708"/>
        <w:rPr>
          <w:bCs/>
        </w:rPr>
      </w:pPr>
      <w:r>
        <w:rPr>
          <w:bCs/>
        </w:rPr>
        <w:t>Таким образом, критерием   выбора товара является выражение - максимальная валовая маржа на фактор ограничения - максимальная прибыль.</w:t>
      </w:r>
    </w:p>
    <w:p w:rsidR="000218F7" w:rsidRDefault="000218F7" w:rsidP="000218F7">
      <w:pPr>
        <w:shd w:val="clear" w:color="auto" w:fill="FFFFFF"/>
        <w:autoSpaceDE w:val="0"/>
        <w:ind w:firstLine="708"/>
        <w:rPr>
          <w:bCs/>
        </w:rPr>
      </w:pPr>
      <w:r>
        <w:rPr>
          <w:bCs/>
        </w:rPr>
        <w:t>В рассматриваемой ситуации из двух изделий, подлежащих освоению, предпочтительнее изделие С: у него больше прибыль, сумма валовой маржи и выше запас финансовой прочности. Таким образом, программа предприятия будет включать изделия А и С.</w:t>
      </w:r>
    </w:p>
    <w:p w:rsidR="000218F7" w:rsidRDefault="000218F7" w:rsidP="000218F7">
      <w:pPr>
        <w:shd w:val="clear" w:color="auto" w:fill="FFFFFF"/>
        <w:autoSpaceDE w:val="0"/>
        <w:ind w:firstLine="708"/>
      </w:pPr>
      <w:r>
        <w:rPr>
          <w:bCs/>
        </w:rPr>
        <w:t>Сводные финансовые результаты и показатели по изделиям, включаемым в программу, и по всей продукции представим в табл. 4., рис. 3.</w:t>
      </w:r>
    </w:p>
    <w:p w:rsidR="000218F7" w:rsidRDefault="000218F7" w:rsidP="000218F7">
      <w:pPr>
        <w:shd w:val="clear" w:color="auto" w:fill="FFFFFF"/>
        <w:autoSpaceDE w:val="0"/>
        <w:ind w:firstLine="708"/>
      </w:pPr>
    </w:p>
    <w:p w:rsidR="000218F7" w:rsidRDefault="000218F7" w:rsidP="000218F7">
      <w:pPr>
        <w:shd w:val="clear" w:color="auto" w:fill="FFFFFF"/>
        <w:autoSpaceDE w:val="0"/>
        <w:ind w:firstLine="708"/>
      </w:pPr>
    </w:p>
    <w:p w:rsidR="000218F7" w:rsidRDefault="000218F7" w:rsidP="00AE2E42">
      <w:pPr>
        <w:shd w:val="clear" w:color="auto" w:fill="FFFFFF"/>
        <w:autoSpaceDE w:val="0"/>
        <w:ind w:firstLine="708"/>
        <w:rPr>
          <w:color w:val="000000"/>
          <w:sz w:val="24"/>
        </w:rPr>
      </w:pPr>
      <w:r>
        <w:lastRenderedPageBreak/>
        <w:t>Таблица 4. Сводные финансовые результаты и показатели предприятия</w:t>
      </w:r>
    </w:p>
    <w:tbl>
      <w:tblPr>
        <w:tblW w:w="9380" w:type="dxa"/>
        <w:tblInd w:w="93" w:type="dxa"/>
        <w:tblLook w:val="04A0" w:firstRow="1" w:lastRow="0" w:firstColumn="1" w:lastColumn="0" w:noHBand="0" w:noVBand="1"/>
      </w:tblPr>
      <w:tblGrid>
        <w:gridCol w:w="5260"/>
        <w:gridCol w:w="1380"/>
        <w:gridCol w:w="1360"/>
        <w:gridCol w:w="1380"/>
      </w:tblGrid>
      <w:tr w:rsidR="00AE2E42" w:rsidRPr="00AE2E42" w:rsidTr="00547FF3">
        <w:trPr>
          <w:trHeight w:val="636"/>
        </w:trPr>
        <w:tc>
          <w:tcPr>
            <w:tcW w:w="5260" w:type="dxa"/>
            <w:tcBorders>
              <w:top w:val="single" w:sz="8" w:space="0" w:color="000000"/>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Показатели</w:t>
            </w:r>
          </w:p>
        </w:tc>
        <w:tc>
          <w:tcPr>
            <w:tcW w:w="1380" w:type="dxa"/>
            <w:tcBorders>
              <w:top w:val="single" w:sz="8" w:space="0" w:color="000000"/>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По всей продукции</w:t>
            </w:r>
          </w:p>
        </w:tc>
        <w:tc>
          <w:tcPr>
            <w:tcW w:w="1360" w:type="dxa"/>
            <w:tcBorders>
              <w:top w:val="single" w:sz="8" w:space="0" w:color="000000"/>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Изделие А</w:t>
            </w:r>
          </w:p>
        </w:tc>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Изделие С</w:t>
            </w:r>
          </w:p>
        </w:tc>
      </w:tr>
      <w:tr w:rsidR="00AE2E42" w:rsidRPr="00AE2E42" w:rsidTr="00547FF3">
        <w:trPr>
          <w:trHeight w:val="324"/>
        </w:trPr>
        <w:tc>
          <w:tcPr>
            <w:tcW w:w="52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Выручка от реализации ВР, млн. руб.</w:t>
            </w:r>
          </w:p>
        </w:tc>
        <w:tc>
          <w:tcPr>
            <w:tcW w:w="138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3498,75</w:t>
            </w:r>
          </w:p>
        </w:tc>
        <w:tc>
          <w:tcPr>
            <w:tcW w:w="13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1656</w:t>
            </w:r>
          </w:p>
        </w:tc>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1842,75</w:t>
            </w:r>
          </w:p>
        </w:tc>
      </w:tr>
      <w:tr w:rsidR="00AE2E42" w:rsidRPr="00AE2E42" w:rsidTr="00547FF3">
        <w:trPr>
          <w:trHeight w:val="324"/>
        </w:trPr>
        <w:tc>
          <w:tcPr>
            <w:tcW w:w="52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Переменные издержки ПИ, млн. руб.</w:t>
            </w:r>
          </w:p>
        </w:tc>
        <w:tc>
          <w:tcPr>
            <w:tcW w:w="138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2294,7</w:t>
            </w:r>
          </w:p>
        </w:tc>
        <w:tc>
          <w:tcPr>
            <w:tcW w:w="13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1093,5</w:t>
            </w:r>
          </w:p>
        </w:tc>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1201,2</w:t>
            </w:r>
          </w:p>
        </w:tc>
      </w:tr>
      <w:tr w:rsidR="00AE2E42" w:rsidRPr="00AE2E42" w:rsidTr="00547FF3">
        <w:trPr>
          <w:trHeight w:val="324"/>
        </w:trPr>
        <w:tc>
          <w:tcPr>
            <w:tcW w:w="52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Валовая маржа ВМ, млн. руб.</w:t>
            </w:r>
          </w:p>
        </w:tc>
        <w:tc>
          <w:tcPr>
            <w:tcW w:w="138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1204,05</w:t>
            </w:r>
          </w:p>
        </w:tc>
        <w:tc>
          <w:tcPr>
            <w:tcW w:w="13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562,5</w:t>
            </w:r>
          </w:p>
        </w:tc>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641,55</w:t>
            </w:r>
          </w:p>
        </w:tc>
      </w:tr>
      <w:tr w:rsidR="00AE2E42" w:rsidRPr="00AE2E42" w:rsidTr="00547FF3">
        <w:trPr>
          <w:trHeight w:val="221"/>
        </w:trPr>
        <w:tc>
          <w:tcPr>
            <w:tcW w:w="52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Валовая маржа в относительном выражении к выручке ВМотн</w:t>
            </w:r>
          </w:p>
        </w:tc>
        <w:tc>
          <w:tcPr>
            <w:tcW w:w="138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0,69</w:t>
            </w:r>
          </w:p>
        </w:tc>
        <w:tc>
          <w:tcPr>
            <w:tcW w:w="13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0,34</w:t>
            </w:r>
          </w:p>
        </w:tc>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0,35</w:t>
            </w:r>
          </w:p>
        </w:tc>
      </w:tr>
      <w:tr w:rsidR="00AE2E42" w:rsidRPr="00AE2E42" w:rsidTr="00547FF3">
        <w:trPr>
          <w:trHeight w:val="324"/>
        </w:trPr>
        <w:tc>
          <w:tcPr>
            <w:tcW w:w="52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Постоянные издержки ПОИ, млн. руб.</w:t>
            </w:r>
          </w:p>
        </w:tc>
        <w:tc>
          <w:tcPr>
            <w:tcW w:w="138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1000</w:t>
            </w:r>
          </w:p>
        </w:tc>
        <w:tc>
          <w:tcPr>
            <w:tcW w:w="13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500</w:t>
            </w:r>
          </w:p>
        </w:tc>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500</w:t>
            </w:r>
          </w:p>
        </w:tc>
      </w:tr>
      <w:tr w:rsidR="00AE2E42" w:rsidRPr="00AE2E42" w:rsidTr="00547FF3">
        <w:trPr>
          <w:trHeight w:val="349"/>
        </w:trPr>
        <w:tc>
          <w:tcPr>
            <w:tcW w:w="52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Прибыль до налогообложения БП, млн. рб.</w:t>
            </w:r>
          </w:p>
        </w:tc>
        <w:tc>
          <w:tcPr>
            <w:tcW w:w="138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204,05</w:t>
            </w:r>
          </w:p>
        </w:tc>
        <w:tc>
          <w:tcPr>
            <w:tcW w:w="13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62,5</w:t>
            </w:r>
          </w:p>
        </w:tc>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141,55</w:t>
            </w:r>
          </w:p>
        </w:tc>
      </w:tr>
      <w:tr w:rsidR="00AE2E42" w:rsidRPr="00AE2E42" w:rsidTr="00547FF3">
        <w:trPr>
          <w:trHeight w:val="324"/>
        </w:trPr>
        <w:tc>
          <w:tcPr>
            <w:tcW w:w="52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Порог рентабельности ПР, млн. руб.</w:t>
            </w:r>
          </w:p>
        </w:tc>
        <w:tc>
          <w:tcPr>
            <w:tcW w:w="1380" w:type="dxa"/>
            <w:tcBorders>
              <w:top w:val="nil"/>
              <w:left w:val="single" w:sz="8" w:space="0" w:color="000000"/>
              <w:bottom w:val="nil"/>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2908,2</w:t>
            </w:r>
          </w:p>
        </w:tc>
        <w:tc>
          <w:tcPr>
            <w:tcW w:w="13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1472,0</w:t>
            </w:r>
          </w:p>
        </w:tc>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1436,2</w:t>
            </w:r>
          </w:p>
        </w:tc>
      </w:tr>
      <w:tr w:rsidR="00AE2E42" w:rsidRPr="00AE2E42" w:rsidTr="00547FF3">
        <w:trPr>
          <w:trHeight w:val="312"/>
        </w:trPr>
        <w:tc>
          <w:tcPr>
            <w:tcW w:w="5260" w:type="dxa"/>
            <w:tcBorders>
              <w:top w:val="nil"/>
              <w:left w:val="single" w:sz="8" w:space="0" w:color="000000"/>
              <w:bottom w:val="nil"/>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Запас финансовой прочности</w:t>
            </w:r>
          </w:p>
        </w:tc>
        <w:tc>
          <w:tcPr>
            <w:tcW w:w="1380" w:type="dxa"/>
            <w:tcBorders>
              <w:top w:val="single" w:sz="4" w:space="0" w:color="auto"/>
              <w:left w:val="single" w:sz="4" w:space="0" w:color="auto"/>
              <w:bottom w:val="nil"/>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p>
        </w:tc>
        <w:tc>
          <w:tcPr>
            <w:tcW w:w="1360" w:type="dxa"/>
            <w:tcBorders>
              <w:top w:val="nil"/>
              <w:left w:val="nil"/>
              <w:bottom w:val="nil"/>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p>
        </w:tc>
        <w:tc>
          <w:tcPr>
            <w:tcW w:w="1380" w:type="dxa"/>
            <w:tcBorders>
              <w:top w:val="nil"/>
              <w:left w:val="single" w:sz="8" w:space="0" w:color="000000"/>
              <w:bottom w:val="nil"/>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p>
        </w:tc>
      </w:tr>
      <w:tr w:rsidR="00AE2E42" w:rsidRPr="00AE2E42" w:rsidTr="00547FF3">
        <w:trPr>
          <w:trHeight w:val="312"/>
        </w:trPr>
        <w:tc>
          <w:tcPr>
            <w:tcW w:w="5260" w:type="dxa"/>
            <w:tcBorders>
              <w:top w:val="nil"/>
              <w:left w:val="single" w:sz="8" w:space="0" w:color="000000"/>
              <w:bottom w:val="nil"/>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ЗФП, млн. руб.</w:t>
            </w:r>
          </w:p>
        </w:tc>
        <w:tc>
          <w:tcPr>
            <w:tcW w:w="1380" w:type="dxa"/>
            <w:tcBorders>
              <w:top w:val="nil"/>
              <w:left w:val="single" w:sz="4" w:space="0" w:color="auto"/>
              <w:bottom w:val="nil"/>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590,6</w:t>
            </w:r>
          </w:p>
        </w:tc>
        <w:tc>
          <w:tcPr>
            <w:tcW w:w="1360" w:type="dxa"/>
            <w:tcBorders>
              <w:top w:val="nil"/>
              <w:left w:val="nil"/>
              <w:bottom w:val="nil"/>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184,0</w:t>
            </w:r>
          </w:p>
        </w:tc>
        <w:tc>
          <w:tcPr>
            <w:tcW w:w="1380" w:type="dxa"/>
            <w:tcBorders>
              <w:top w:val="nil"/>
              <w:left w:val="single" w:sz="8" w:space="0" w:color="000000"/>
              <w:bottom w:val="nil"/>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406,6</w:t>
            </w:r>
          </w:p>
        </w:tc>
      </w:tr>
      <w:tr w:rsidR="00AE2E42" w:rsidRPr="00AE2E42" w:rsidTr="00547FF3">
        <w:trPr>
          <w:trHeight w:val="324"/>
        </w:trPr>
        <w:tc>
          <w:tcPr>
            <w:tcW w:w="52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ЭФП, %</w:t>
            </w:r>
          </w:p>
        </w:tc>
        <w:tc>
          <w:tcPr>
            <w:tcW w:w="1380"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16,9</w:t>
            </w:r>
          </w:p>
        </w:tc>
        <w:tc>
          <w:tcPr>
            <w:tcW w:w="1360" w:type="dxa"/>
            <w:tcBorders>
              <w:top w:val="nil"/>
              <w:left w:val="nil"/>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11,1</w:t>
            </w:r>
          </w:p>
        </w:tc>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22,1</w:t>
            </w:r>
          </w:p>
        </w:tc>
      </w:tr>
      <w:tr w:rsidR="00AE2E42" w:rsidRPr="00AE2E42" w:rsidTr="00547FF3">
        <w:trPr>
          <w:trHeight w:val="364"/>
        </w:trPr>
        <w:tc>
          <w:tcPr>
            <w:tcW w:w="52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Сила воздействия операционного рычага СВОР</w:t>
            </w:r>
          </w:p>
        </w:tc>
        <w:tc>
          <w:tcPr>
            <w:tcW w:w="138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5,90</w:t>
            </w:r>
          </w:p>
        </w:tc>
        <w:tc>
          <w:tcPr>
            <w:tcW w:w="1360" w:type="dxa"/>
            <w:tcBorders>
              <w:top w:val="nil"/>
              <w:left w:val="single" w:sz="8" w:space="0" w:color="000000"/>
              <w:bottom w:val="single" w:sz="8" w:space="0" w:color="000000"/>
              <w:right w:val="nil"/>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9,00</w:t>
            </w:r>
          </w:p>
        </w:tc>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4,53</w:t>
            </w:r>
          </w:p>
        </w:tc>
      </w:tr>
    </w:tbl>
    <w:p w:rsidR="00AE2E42" w:rsidRDefault="00AE2E42" w:rsidP="00AE2E42">
      <w:pPr>
        <w:shd w:val="clear" w:color="auto" w:fill="FFFFFF"/>
        <w:autoSpaceDE w:val="0"/>
        <w:ind w:firstLine="708"/>
        <w:rPr>
          <w:color w:val="000000"/>
          <w:sz w:val="24"/>
        </w:rPr>
      </w:pPr>
    </w:p>
    <w:p w:rsidR="00AE2E42" w:rsidRDefault="00AE2E42" w:rsidP="00AE2E42">
      <w:pPr>
        <w:shd w:val="clear" w:color="auto" w:fill="FFFFFF"/>
        <w:autoSpaceDE w:val="0"/>
        <w:ind w:firstLine="708"/>
        <w:rPr>
          <w:b/>
          <w:bCs/>
          <w:sz w:val="24"/>
        </w:rPr>
      </w:pPr>
    </w:p>
    <w:p w:rsidR="000218F7" w:rsidRDefault="00AE2E42" w:rsidP="000218F7">
      <w:pPr>
        <w:shd w:val="clear" w:color="auto" w:fill="FFFFFF"/>
        <w:autoSpaceDE w:val="0"/>
        <w:ind w:firstLine="0"/>
        <w:jc w:val="center"/>
        <w:rPr>
          <w:b/>
          <w:bCs/>
        </w:rPr>
      </w:pPr>
      <w:r>
        <w:rPr>
          <w:noProof/>
        </w:rPr>
        <w:drawing>
          <wp:inline distT="0" distB="0" distL="0" distR="0" wp14:anchorId="607AD94B" wp14:editId="616DA7F2">
            <wp:extent cx="5890260" cy="3265170"/>
            <wp:effectExtent l="0" t="0" r="15240" b="1143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218F7" w:rsidRDefault="000218F7" w:rsidP="000218F7">
      <w:pPr>
        <w:shd w:val="clear" w:color="auto" w:fill="FFFFFF"/>
        <w:autoSpaceDE w:val="0"/>
        <w:ind w:firstLine="0"/>
        <w:jc w:val="center"/>
        <w:rPr>
          <w:bCs/>
        </w:rPr>
      </w:pPr>
      <w:r w:rsidRPr="00F41D0A">
        <w:rPr>
          <w:bCs/>
        </w:rPr>
        <w:t>Рис. 3 – Построение порога рентабельности</w:t>
      </w:r>
    </w:p>
    <w:p w:rsidR="000218F7" w:rsidRDefault="000218F7" w:rsidP="000218F7">
      <w:r>
        <w:t>Выводы</w:t>
      </w:r>
    </w:p>
    <w:p w:rsidR="000218F7" w:rsidRDefault="000218F7" w:rsidP="000218F7">
      <w:bookmarkStart w:id="4" w:name="bookmark11"/>
      <w:r>
        <w:t>Оценка операционного рычага указывает на значительный запас фи</w:t>
      </w:r>
      <w:r>
        <w:softHyphen/>
        <w:t>нансовой прочности предприятия (</w:t>
      </w:r>
      <w:r w:rsidR="00AE2E42">
        <w:t>16,9</w:t>
      </w:r>
      <w:r>
        <w:t>%).</w:t>
      </w:r>
      <w:bookmarkEnd w:id="4"/>
    </w:p>
    <w:p w:rsidR="000218F7" w:rsidRDefault="000218F7" w:rsidP="000218F7">
      <w:pPr>
        <w:rPr>
          <w:b/>
        </w:rPr>
      </w:pPr>
      <w:r>
        <w:t>С помощью операционного анализа выявлена взаимосвязь цены и переменных издержек с изменением объема реализации</w:t>
      </w:r>
      <w:r>
        <w:br w:type="page"/>
      </w:r>
    </w:p>
    <w:p w:rsidR="000218F7" w:rsidRDefault="00C956D8" w:rsidP="000218F7">
      <w:pPr>
        <w:pStyle w:val="1"/>
      </w:pPr>
      <w:bookmarkStart w:id="5" w:name="_Toc514353583"/>
      <w:r>
        <w:lastRenderedPageBreak/>
        <w:t>3</w:t>
      </w:r>
      <w:r w:rsidR="000218F7">
        <w:t>. Оценка финансового рычага</w:t>
      </w:r>
      <w:bookmarkEnd w:id="5"/>
    </w:p>
    <w:p w:rsidR="000218F7" w:rsidRDefault="000218F7" w:rsidP="000218F7">
      <w:pPr>
        <w:shd w:val="clear" w:color="auto" w:fill="FFFFFF"/>
        <w:autoSpaceDE w:val="0"/>
        <w:ind w:firstLine="708"/>
        <w:rPr>
          <w:bCs/>
        </w:rPr>
      </w:pPr>
    </w:p>
    <w:p w:rsidR="000218F7" w:rsidRDefault="000218F7" w:rsidP="000218F7">
      <w:pPr>
        <w:shd w:val="clear" w:color="auto" w:fill="FFFFFF"/>
        <w:autoSpaceDE w:val="0"/>
        <w:ind w:firstLine="708"/>
        <w:rPr>
          <w:bCs/>
        </w:rPr>
      </w:pPr>
      <w:r>
        <w:rPr>
          <w:bCs/>
        </w:rPr>
        <w:t>Для освоения выпуска изделий С необходимы инвестиции в размере 300 млн. руб. Для этой цели предприятие может использовать прибыль, пополняя таким образом собственные средства за счет уменьшения суммы выплат на дивиденды, или долгосрочный заем, увеличивая тем самым сумму заемных средств.</w:t>
      </w:r>
    </w:p>
    <w:p w:rsidR="000218F7" w:rsidRDefault="000218F7" w:rsidP="000218F7">
      <w:pPr>
        <w:shd w:val="clear" w:color="auto" w:fill="FFFFFF"/>
        <w:autoSpaceDE w:val="0"/>
        <w:ind w:firstLine="708"/>
        <w:rPr>
          <w:bCs/>
        </w:rPr>
      </w:pPr>
      <w:r>
        <w:rPr>
          <w:bCs/>
        </w:rPr>
        <w:t>В формировании рациональной структуры источников средств исходят обычно из целевой установки: найти такое соотношение между заемными и собственными средствами, при котором стоимость акции предприятия будет наивысшей.</w:t>
      </w:r>
    </w:p>
    <w:p w:rsidR="000218F7" w:rsidRDefault="000218F7" w:rsidP="000218F7">
      <w:pPr>
        <w:shd w:val="clear" w:color="auto" w:fill="FFFFFF"/>
        <w:autoSpaceDE w:val="0"/>
        <w:ind w:firstLine="708"/>
        <w:rPr>
          <w:bCs/>
        </w:rPr>
      </w:pPr>
      <w:r>
        <w:rPr>
          <w:bCs/>
        </w:rPr>
        <w:t>1-й вариант: всю прибыль, полученную предприятием в тече</w:t>
      </w:r>
      <w:r>
        <w:rPr>
          <w:bCs/>
        </w:rPr>
        <w:softHyphen/>
        <w:t>ние года (</w:t>
      </w:r>
      <w:r w:rsidR="00AE2E42">
        <w:rPr>
          <w:bCs/>
        </w:rPr>
        <w:t xml:space="preserve">255 </w:t>
      </w:r>
      <w:r>
        <w:rPr>
          <w:bCs/>
        </w:rPr>
        <w:t>млн. руб.), направим на пополнение собственных средств;</w:t>
      </w:r>
    </w:p>
    <w:p w:rsidR="000218F7" w:rsidRDefault="000218F7" w:rsidP="000218F7">
      <w:pPr>
        <w:shd w:val="clear" w:color="auto" w:fill="FFFFFF"/>
        <w:autoSpaceDE w:val="0"/>
        <w:ind w:firstLine="708"/>
        <w:rPr>
          <w:bCs/>
        </w:rPr>
      </w:pPr>
      <w:r>
        <w:rPr>
          <w:bCs/>
        </w:rPr>
        <w:t xml:space="preserve">2-й вариант: возьмем долгосрочный заем </w:t>
      </w:r>
      <w:r w:rsidR="00AE2E42">
        <w:rPr>
          <w:bCs/>
        </w:rPr>
        <w:t>680</w:t>
      </w:r>
      <w:r>
        <w:rPr>
          <w:bCs/>
        </w:rPr>
        <w:t xml:space="preserve"> млн. руб. При этом сумма заемных средств возрастет в 1,5 раза, стоимость кре</w:t>
      </w:r>
      <w:r>
        <w:rPr>
          <w:bCs/>
        </w:rPr>
        <w:softHyphen/>
        <w:t>дита, допустим, увеличится тоже в 1,5 раза.</w:t>
      </w:r>
    </w:p>
    <w:p w:rsidR="000218F7" w:rsidRDefault="000218F7" w:rsidP="000218F7">
      <w:pPr>
        <w:shd w:val="clear" w:color="auto" w:fill="FFFFFF"/>
        <w:autoSpaceDE w:val="0"/>
        <w:ind w:firstLine="708"/>
        <w:rPr>
          <w:bCs/>
        </w:rPr>
      </w:pPr>
      <w:r>
        <w:rPr>
          <w:bCs/>
        </w:rPr>
        <w:t>В табл. 5 приведены исходные данные.</w:t>
      </w:r>
    </w:p>
    <w:p w:rsidR="000218F7" w:rsidRDefault="000218F7" w:rsidP="00AE2E42">
      <w:pPr>
        <w:shd w:val="clear" w:color="auto" w:fill="FFFFFF"/>
        <w:autoSpaceDE w:val="0"/>
        <w:ind w:firstLine="708"/>
        <w:rPr>
          <w:bCs/>
        </w:rPr>
      </w:pPr>
      <w:r>
        <w:rPr>
          <w:bCs/>
        </w:rPr>
        <w:t>Таблица 5. Исходные данные</w:t>
      </w:r>
    </w:p>
    <w:tbl>
      <w:tblPr>
        <w:tblW w:w="8999" w:type="dxa"/>
        <w:tblInd w:w="93" w:type="dxa"/>
        <w:tblLook w:val="04A0" w:firstRow="1" w:lastRow="0" w:firstColumn="1" w:lastColumn="0" w:noHBand="0" w:noVBand="1"/>
      </w:tblPr>
      <w:tblGrid>
        <w:gridCol w:w="4835"/>
        <w:gridCol w:w="1475"/>
        <w:gridCol w:w="1664"/>
        <w:gridCol w:w="1025"/>
      </w:tblGrid>
      <w:tr w:rsidR="00AE2E42" w:rsidRPr="00AE2E42" w:rsidTr="00547FF3">
        <w:trPr>
          <w:trHeight w:val="624"/>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Показатели</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Исходный вариант</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1-й вариант</w:t>
            </w:r>
          </w:p>
        </w:tc>
        <w:tc>
          <w:tcPr>
            <w:tcW w:w="1025"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2-й вариант</w:t>
            </w:r>
          </w:p>
        </w:tc>
      </w:tr>
      <w:tr w:rsidR="00AE2E42" w:rsidRPr="00AE2E42" w:rsidTr="00547FF3">
        <w:trPr>
          <w:trHeight w:val="312"/>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Активы А, млн. руб.</w:t>
            </w:r>
          </w:p>
        </w:tc>
        <w:tc>
          <w:tcPr>
            <w:tcW w:w="147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1650</w:t>
            </w:r>
          </w:p>
        </w:tc>
        <w:tc>
          <w:tcPr>
            <w:tcW w:w="1664"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1854,05</w:t>
            </w:r>
          </w:p>
        </w:tc>
        <w:tc>
          <w:tcPr>
            <w:tcW w:w="102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1950</w:t>
            </w:r>
          </w:p>
        </w:tc>
      </w:tr>
      <w:tr w:rsidR="00AE2E42" w:rsidRPr="00AE2E42" w:rsidTr="00547FF3">
        <w:trPr>
          <w:trHeight w:val="62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Собственные средства СС, млн. руб.</w:t>
            </w:r>
          </w:p>
        </w:tc>
        <w:tc>
          <w:tcPr>
            <w:tcW w:w="147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750</w:t>
            </w:r>
          </w:p>
        </w:tc>
        <w:tc>
          <w:tcPr>
            <w:tcW w:w="1664"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954,05</w:t>
            </w:r>
          </w:p>
        </w:tc>
        <w:tc>
          <w:tcPr>
            <w:tcW w:w="102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750</w:t>
            </w:r>
          </w:p>
        </w:tc>
      </w:tr>
      <w:tr w:rsidR="00AE2E42" w:rsidRPr="00AE2E42" w:rsidTr="00547FF3">
        <w:trPr>
          <w:trHeight w:val="312"/>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Заемные средства ЗС, млн. руб.</w:t>
            </w:r>
          </w:p>
        </w:tc>
        <w:tc>
          <w:tcPr>
            <w:tcW w:w="147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680</w:t>
            </w:r>
          </w:p>
        </w:tc>
        <w:tc>
          <w:tcPr>
            <w:tcW w:w="1664"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680</w:t>
            </w:r>
          </w:p>
        </w:tc>
        <w:tc>
          <w:tcPr>
            <w:tcW w:w="102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980</w:t>
            </w:r>
          </w:p>
        </w:tc>
      </w:tr>
      <w:tr w:rsidR="00AE2E42" w:rsidRPr="00AE2E42" w:rsidTr="00547FF3">
        <w:trPr>
          <w:trHeight w:val="62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Кредиторская задолженность КЗ, млн. руб.</w:t>
            </w:r>
          </w:p>
        </w:tc>
        <w:tc>
          <w:tcPr>
            <w:tcW w:w="147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220</w:t>
            </w:r>
          </w:p>
        </w:tc>
        <w:tc>
          <w:tcPr>
            <w:tcW w:w="1664"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220</w:t>
            </w:r>
          </w:p>
        </w:tc>
        <w:tc>
          <w:tcPr>
            <w:tcW w:w="102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220</w:t>
            </w:r>
          </w:p>
        </w:tc>
      </w:tr>
      <w:tr w:rsidR="00AE2E42" w:rsidRPr="00AE2E42" w:rsidTr="00547FF3">
        <w:trPr>
          <w:trHeight w:val="62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Средняя расчетная ставка процента СРСП, %</w:t>
            </w:r>
          </w:p>
        </w:tc>
        <w:tc>
          <w:tcPr>
            <w:tcW w:w="147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18</w:t>
            </w:r>
          </w:p>
        </w:tc>
        <w:tc>
          <w:tcPr>
            <w:tcW w:w="1664"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18</w:t>
            </w:r>
          </w:p>
        </w:tc>
        <w:tc>
          <w:tcPr>
            <w:tcW w:w="102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26</w:t>
            </w:r>
          </w:p>
        </w:tc>
      </w:tr>
      <w:tr w:rsidR="00AE2E42" w:rsidRPr="00AE2E42" w:rsidTr="00547FF3">
        <w:trPr>
          <w:trHeight w:val="62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Прибыль до налогообложения БП, млн. руб.</w:t>
            </w:r>
          </w:p>
        </w:tc>
        <w:tc>
          <w:tcPr>
            <w:tcW w:w="147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255,0</w:t>
            </w:r>
          </w:p>
        </w:tc>
        <w:tc>
          <w:tcPr>
            <w:tcW w:w="1664"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300</w:t>
            </w:r>
          </w:p>
        </w:tc>
        <w:tc>
          <w:tcPr>
            <w:tcW w:w="1025"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sz w:val="24"/>
              </w:rPr>
            </w:pPr>
            <w:r w:rsidRPr="00AE2E42">
              <w:rPr>
                <w:sz w:val="24"/>
              </w:rPr>
              <w:t>300</w:t>
            </w:r>
          </w:p>
        </w:tc>
      </w:tr>
    </w:tbl>
    <w:p w:rsidR="00AE2E42" w:rsidRDefault="00AE2E42" w:rsidP="00AE2E42">
      <w:pPr>
        <w:shd w:val="clear" w:color="auto" w:fill="FFFFFF"/>
        <w:autoSpaceDE w:val="0"/>
        <w:ind w:firstLine="708"/>
        <w:rPr>
          <w:sz w:val="24"/>
        </w:rPr>
      </w:pPr>
    </w:p>
    <w:p w:rsidR="00AE2E42" w:rsidRDefault="00AE2E42" w:rsidP="00AE2E42">
      <w:pPr>
        <w:shd w:val="clear" w:color="auto" w:fill="FFFFFF"/>
        <w:autoSpaceDE w:val="0"/>
        <w:ind w:firstLine="708"/>
        <w:rPr>
          <w:bCs/>
        </w:rPr>
      </w:pPr>
    </w:p>
    <w:p w:rsidR="000218F7" w:rsidRDefault="00AE2E42" w:rsidP="000218F7">
      <w:pPr>
        <w:ind w:firstLine="0"/>
        <w:jc w:val="center"/>
      </w:pPr>
      <w:r>
        <w:rPr>
          <w:noProof/>
        </w:rPr>
        <w:lastRenderedPageBreak/>
        <w:drawing>
          <wp:inline distT="0" distB="0" distL="0" distR="0" wp14:anchorId="5C26553A" wp14:editId="38EDBD92">
            <wp:extent cx="2674620" cy="2125980"/>
            <wp:effectExtent l="0" t="0" r="11430" b="2667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AE2E42">
        <w:rPr>
          <w:noProof/>
        </w:rPr>
        <w:t xml:space="preserve"> </w:t>
      </w:r>
      <w:r>
        <w:rPr>
          <w:noProof/>
        </w:rPr>
        <w:drawing>
          <wp:inline distT="0" distB="0" distL="0" distR="0" wp14:anchorId="1EAE7A8B" wp14:editId="603D1750">
            <wp:extent cx="2529840" cy="2133600"/>
            <wp:effectExtent l="0" t="0" r="2286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0218F7" w:rsidRDefault="00AE2E42" w:rsidP="000218F7">
      <w:r>
        <w:t xml:space="preserve">      </w:t>
      </w:r>
      <w:r w:rsidR="000218F7">
        <w:t xml:space="preserve">       1 вариант                                                2 вариант</w:t>
      </w:r>
    </w:p>
    <w:p w:rsidR="000218F7" w:rsidRDefault="000218F7" w:rsidP="000218F7">
      <w:pPr>
        <w:ind w:firstLine="0"/>
        <w:jc w:val="center"/>
      </w:pPr>
      <w:r>
        <w:t>Рис. 4 - Структура капитала предприятия</w:t>
      </w:r>
    </w:p>
    <w:p w:rsidR="000218F7" w:rsidRDefault="000218F7" w:rsidP="000218F7">
      <w:pPr>
        <w:shd w:val="clear" w:color="auto" w:fill="FFFFFF"/>
        <w:autoSpaceDE w:val="0"/>
        <w:ind w:firstLine="708"/>
        <w:rPr>
          <w:bCs/>
        </w:rPr>
      </w:pPr>
    </w:p>
    <w:p w:rsidR="000218F7" w:rsidRDefault="000218F7" w:rsidP="000218F7">
      <w:pPr>
        <w:shd w:val="clear" w:color="auto" w:fill="FFFFFF"/>
        <w:autoSpaceDE w:val="0"/>
        <w:ind w:firstLine="708"/>
        <w:rPr>
          <w:bCs/>
        </w:rPr>
      </w:pPr>
      <w:r>
        <w:rPr>
          <w:bCs/>
        </w:rPr>
        <w:t>Для целей анализа из состава заемных средств предприятия необходимо вычесть сумму кредиторской задолженности. Соответственно, на эту сумму уменьшится пассив. В конце этих расчетов объясним подробно необходимость такой операции. (В исходных данных табл.5 кредиторская задолженность в состав заемных средств не входит).</w:t>
      </w:r>
    </w:p>
    <w:p w:rsidR="000218F7" w:rsidRDefault="000218F7" w:rsidP="000218F7">
      <w:pPr>
        <w:numPr>
          <w:ilvl w:val="0"/>
          <w:numId w:val="4"/>
        </w:numPr>
        <w:shd w:val="clear" w:color="auto" w:fill="FFFFFF"/>
        <w:suppressAutoHyphens/>
        <w:autoSpaceDE w:val="0"/>
        <w:rPr>
          <w:bCs/>
        </w:rPr>
      </w:pPr>
      <w:r>
        <w:rPr>
          <w:bCs/>
        </w:rPr>
        <w:t>Рассчитаем нетто-результат эксплуатации инвестиций (НРЭИ) по формуле (3).</w:t>
      </w:r>
    </w:p>
    <w:p w:rsidR="000218F7" w:rsidRDefault="000218F7" w:rsidP="000218F7">
      <w:pPr>
        <w:numPr>
          <w:ilvl w:val="0"/>
          <w:numId w:val="4"/>
        </w:numPr>
        <w:shd w:val="clear" w:color="auto" w:fill="FFFFFF"/>
        <w:suppressAutoHyphens/>
        <w:autoSpaceDE w:val="0"/>
        <w:rPr>
          <w:bCs/>
        </w:rPr>
      </w:pPr>
      <w:r>
        <w:rPr>
          <w:bCs/>
        </w:rPr>
        <w:t>Определим экономическую рентабельность активов (ЭР) по формуле (5).</w:t>
      </w:r>
    </w:p>
    <w:p w:rsidR="000218F7" w:rsidRDefault="000218F7" w:rsidP="000218F7">
      <w:pPr>
        <w:numPr>
          <w:ilvl w:val="0"/>
          <w:numId w:val="4"/>
        </w:numPr>
        <w:shd w:val="clear" w:color="auto" w:fill="FFFFFF"/>
        <w:suppressAutoHyphens/>
        <w:autoSpaceDE w:val="0"/>
        <w:rPr>
          <w:bCs/>
        </w:rPr>
      </w:pPr>
      <w:r>
        <w:rPr>
          <w:bCs/>
        </w:rPr>
        <w:t>Рассчитаем силу воздействия финансового рычага (СВФР) по формуле (2).</w:t>
      </w:r>
    </w:p>
    <w:p w:rsidR="000218F7" w:rsidRDefault="000218F7" w:rsidP="000218F7">
      <w:pPr>
        <w:numPr>
          <w:ilvl w:val="0"/>
          <w:numId w:val="4"/>
        </w:numPr>
        <w:shd w:val="clear" w:color="auto" w:fill="FFFFFF"/>
        <w:suppressAutoHyphens/>
        <w:autoSpaceDE w:val="0"/>
        <w:rPr>
          <w:bCs/>
        </w:rPr>
      </w:pPr>
      <w:r>
        <w:rPr>
          <w:bCs/>
        </w:rPr>
        <w:t>Найдем плечо финансового рычага (ПФР) как отношение ЗС/СС.</w:t>
      </w:r>
    </w:p>
    <w:p w:rsidR="000218F7" w:rsidRDefault="000218F7" w:rsidP="000218F7">
      <w:pPr>
        <w:numPr>
          <w:ilvl w:val="0"/>
          <w:numId w:val="4"/>
        </w:numPr>
        <w:shd w:val="clear" w:color="auto" w:fill="FFFFFF"/>
        <w:suppressAutoHyphens/>
        <w:autoSpaceDE w:val="0"/>
        <w:rPr>
          <w:bCs/>
        </w:rPr>
      </w:pPr>
      <w:r>
        <w:rPr>
          <w:bCs/>
        </w:rPr>
        <w:t>Рассчитаем эффект финансового рычага (ЭФР) по форму</w:t>
      </w:r>
      <w:r>
        <w:rPr>
          <w:bCs/>
        </w:rPr>
        <w:softHyphen/>
        <w:t xml:space="preserve">ле (4). </w:t>
      </w:r>
    </w:p>
    <w:p w:rsidR="000218F7" w:rsidRDefault="000218F7" w:rsidP="000218F7">
      <w:pPr>
        <w:numPr>
          <w:ilvl w:val="0"/>
          <w:numId w:val="4"/>
        </w:numPr>
        <w:shd w:val="clear" w:color="auto" w:fill="FFFFFF"/>
        <w:suppressAutoHyphens/>
        <w:autoSpaceDE w:val="0"/>
      </w:pPr>
      <w:r>
        <w:rPr>
          <w:bCs/>
        </w:rPr>
        <w:t xml:space="preserve">Определим рентабельность собственных средств (РСС), учитывая ставку налогообложения (СНО) по формуле </w:t>
      </w:r>
    </w:p>
    <w:p w:rsidR="000218F7" w:rsidRDefault="000218F7" w:rsidP="000218F7">
      <w:pPr>
        <w:shd w:val="clear" w:color="auto" w:fill="FFFFFF"/>
        <w:autoSpaceDE w:val="0"/>
        <w:ind w:left="360"/>
        <w:rPr>
          <w:bCs/>
        </w:rPr>
      </w:pPr>
      <w:r w:rsidRPr="00041B4B">
        <w:rPr>
          <w:position w:val="-10"/>
        </w:rPr>
        <w:object w:dxaOrig="6000" w:dyaOrig="320">
          <v:shape id="_x0000_i1034" type="#_x0000_t75" style="width:300pt;height:16.5pt" o:ole="" filled="t">
            <v:fill color2="black"/>
            <v:imagedata r:id="rId31" o:title=""/>
          </v:shape>
          <o:OLEObject Type="Embed" ProgID="Equation.3" ShapeID="_x0000_i1034" DrawAspect="Content" ObjectID="_1588176130" r:id="rId32"/>
        </w:object>
      </w:r>
      <w:r>
        <w:rPr>
          <w:bCs/>
        </w:rPr>
        <w:t xml:space="preserve">                                    (13)</w:t>
      </w:r>
    </w:p>
    <w:p w:rsidR="000218F7" w:rsidRDefault="000218F7" w:rsidP="000218F7">
      <w:pPr>
        <w:numPr>
          <w:ilvl w:val="0"/>
          <w:numId w:val="4"/>
        </w:numPr>
        <w:shd w:val="clear" w:color="auto" w:fill="FFFFFF"/>
        <w:suppressAutoHyphens/>
        <w:autoSpaceDE w:val="0"/>
        <w:rPr>
          <w:bCs/>
        </w:rPr>
      </w:pPr>
      <w:r>
        <w:rPr>
          <w:bCs/>
        </w:rPr>
        <w:t>Рассчитаем уровень сопряженного эффекта (УСЭ) по фор</w:t>
      </w:r>
      <w:r>
        <w:rPr>
          <w:bCs/>
        </w:rPr>
        <w:softHyphen/>
        <w:t>муле (6)</w:t>
      </w:r>
    </w:p>
    <w:p w:rsidR="000218F7" w:rsidRDefault="000218F7" w:rsidP="000218F7">
      <w:pPr>
        <w:shd w:val="clear" w:color="auto" w:fill="FFFFFF"/>
        <w:autoSpaceDE w:val="0"/>
        <w:ind w:left="360" w:firstLine="348"/>
        <w:rPr>
          <w:bCs/>
        </w:rPr>
      </w:pPr>
      <w:r>
        <w:rPr>
          <w:bCs/>
        </w:rPr>
        <w:t>Заполним табл. 6.</w:t>
      </w:r>
    </w:p>
    <w:p w:rsidR="000218F7" w:rsidRDefault="000218F7" w:rsidP="00AE2E42">
      <w:pPr>
        <w:shd w:val="clear" w:color="auto" w:fill="FFFFFF"/>
        <w:autoSpaceDE w:val="0"/>
        <w:ind w:firstLine="708"/>
        <w:rPr>
          <w:color w:val="000000"/>
          <w:sz w:val="24"/>
        </w:rPr>
      </w:pPr>
      <w:r w:rsidRPr="00510093">
        <w:rPr>
          <w:bCs/>
        </w:rPr>
        <w:lastRenderedPageBreak/>
        <w:t xml:space="preserve">Таблица </w:t>
      </w:r>
      <w:r>
        <w:rPr>
          <w:bCs/>
        </w:rPr>
        <w:t>6</w:t>
      </w:r>
      <w:r w:rsidRPr="00510093">
        <w:rPr>
          <w:bCs/>
        </w:rPr>
        <w:t>. Финансовые результаты без учета кредиторской задолженности</w:t>
      </w:r>
    </w:p>
    <w:tbl>
      <w:tblPr>
        <w:tblW w:w="9554" w:type="dxa"/>
        <w:tblInd w:w="93" w:type="dxa"/>
        <w:tblLook w:val="04A0" w:firstRow="1" w:lastRow="0" w:firstColumn="1" w:lastColumn="0" w:noHBand="0" w:noVBand="1"/>
      </w:tblPr>
      <w:tblGrid>
        <w:gridCol w:w="6394"/>
        <w:gridCol w:w="1480"/>
        <w:gridCol w:w="1680"/>
      </w:tblGrid>
      <w:tr w:rsidR="00AE2E42" w:rsidRPr="00AE2E42" w:rsidTr="00AE2E42">
        <w:trPr>
          <w:trHeight w:val="312"/>
        </w:trPr>
        <w:tc>
          <w:tcPr>
            <w:tcW w:w="63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Показатели</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1-й вариант</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2-й вариант</w:t>
            </w:r>
          </w:p>
        </w:tc>
      </w:tr>
      <w:tr w:rsidR="00AE2E42" w:rsidRPr="00AE2E42" w:rsidTr="00AE2E42">
        <w:trPr>
          <w:trHeight w:val="12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Нетто-результат НРЭИ = БП + СРСП х ЗС, млн. руб.</w:t>
            </w:r>
          </w:p>
        </w:tc>
        <w:tc>
          <w:tcPr>
            <w:tcW w:w="14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422,4</w:t>
            </w:r>
          </w:p>
        </w:tc>
        <w:tc>
          <w:tcPr>
            <w:tcW w:w="16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554,8</w:t>
            </w:r>
          </w:p>
        </w:tc>
      </w:tr>
      <w:tr w:rsidR="00AE2E42" w:rsidRPr="00AE2E42" w:rsidTr="00AE2E42">
        <w:trPr>
          <w:trHeight w:val="186"/>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Экономическая рентабельность ЭР = НРЭИ / Активы х 100, %</w:t>
            </w:r>
          </w:p>
        </w:tc>
        <w:tc>
          <w:tcPr>
            <w:tcW w:w="14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25,8</w:t>
            </w:r>
          </w:p>
        </w:tc>
        <w:tc>
          <w:tcPr>
            <w:tcW w:w="16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32,1</w:t>
            </w:r>
          </w:p>
        </w:tc>
      </w:tr>
      <w:tr w:rsidR="00AE2E42" w:rsidRPr="00AE2E42" w:rsidTr="00AE2E42">
        <w:trPr>
          <w:trHeight w:val="138"/>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Сила воздействия финансового рычага СВФР = НРЭИ / БП</w:t>
            </w:r>
          </w:p>
        </w:tc>
        <w:tc>
          <w:tcPr>
            <w:tcW w:w="14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1,41</w:t>
            </w:r>
          </w:p>
        </w:tc>
        <w:tc>
          <w:tcPr>
            <w:tcW w:w="16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1,85</w:t>
            </w:r>
          </w:p>
        </w:tc>
      </w:tr>
      <w:tr w:rsidR="00AE2E42" w:rsidRPr="00AE2E42" w:rsidTr="00AE2E42">
        <w:trPr>
          <w:trHeight w:val="27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Плечо финансового рычага ПФР = ЗС / СС</w:t>
            </w:r>
          </w:p>
        </w:tc>
        <w:tc>
          <w:tcPr>
            <w:tcW w:w="14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0,71</w:t>
            </w:r>
          </w:p>
        </w:tc>
        <w:tc>
          <w:tcPr>
            <w:tcW w:w="16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1,31</w:t>
            </w:r>
          </w:p>
        </w:tc>
      </w:tr>
      <w:tr w:rsidR="00AE2E42" w:rsidRPr="00AE2E42" w:rsidTr="00AE2E42">
        <w:trPr>
          <w:trHeight w:val="259"/>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Эффект финансового рычага ЭФР = (1-СНО) х (ЭР – СРСП) х ПФР, %</w:t>
            </w:r>
          </w:p>
        </w:tc>
        <w:tc>
          <w:tcPr>
            <w:tcW w:w="14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4,48</w:t>
            </w:r>
          </w:p>
        </w:tc>
        <w:tc>
          <w:tcPr>
            <w:tcW w:w="16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6,34</w:t>
            </w:r>
          </w:p>
        </w:tc>
      </w:tr>
      <w:tr w:rsidR="00AE2E42" w:rsidRPr="00AE2E42" w:rsidTr="00AE2E42">
        <w:trPr>
          <w:trHeight w:val="316"/>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Рентабельность собственных средств РСС = (1 – СНО) х ЭР + ЭФР, %</w:t>
            </w:r>
          </w:p>
        </w:tc>
        <w:tc>
          <w:tcPr>
            <w:tcW w:w="14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25,16</w:t>
            </w:r>
          </w:p>
        </w:tc>
        <w:tc>
          <w:tcPr>
            <w:tcW w:w="16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32,00</w:t>
            </w:r>
          </w:p>
        </w:tc>
      </w:tr>
      <w:tr w:rsidR="00AE2E42" w:rsidRPr="00AE2E42" w:rsidTr="00AE2E42">
        <w:trPr>
          <w:trHeight w:val="168"/>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Уровень сопряженного эффекта УСЭ = СВОР х СВФР, %</w:t>
            </w:r>
          </w:p>
        </w:tc>
        <w:tc>
          <w:tcPr>
            <w:tcW w:w="14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12,67</w:t>
            </w:r>
          </w:p>
        </w:tc>
        <w:tc>
          <w:tcPr>
            <w:tcW w:w="168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8,38</w:t>
            </w:r>
          </w:p>
        </w:tc>
      </w:tr>
    </w:tbl>
    <w:p w:rsidR="00AE2E42" w:rsidRDefault="00AE2E42" w:rsidP="00AE2E42">
      <w:pPr>
        <w:shd w:val="clear" w:color="auto" w:fill="FFFFFF"/>
        <w:autoSpaceDE w:val="0"/>
        <w:ind w:firstLine="708"/>
        <w:rPr>
          <w:bCs/>
        </w:rPr>
      </w:pPr>
    </w:p>
    <w:p w:rsidR="000218F7" w:rsidRDefault="000218F7" w:rsidP="000218F7">
      <w:pPr>
        <w:shd w:val="clear" w:color="auto" w:fill="FFFFFF"/>
        <w:autoSpaceDE w:val="0"/>
        <w:ind w:firstLine="708"/>
        <w:rPr>
          <w:bCs/>
        </w:rPr>
      </w:pPr>
      <w:r>
        <w:rPr>
          <w:bCs/>
        </w:rPr>
        <w:t>В расчетах не учитывалась кредиторская задолженность. По</w:t>
      </w:r>
      <w:r>
        <w:rPr>
          <w:bCs/>
        </w:rPr>
        <w:softHyphen/>
        <w:t>чему?</w:t>
      </w:r>
    </w:p>
    <w:p w:rsidR="000218F7" w:rsidRDefault="000218F7" w:rsidP="000218F7">
      <w:pPr>
        <w:shd w:val="clear" w:color="auto" w:fill="FFFFFF"/>
        <w:autoSpaceDE w:val="0"/>
        <w:ind w:firstLine="708"/>
        <w:rPr>
          <w:bCs/>
        </w:rPr>
      </w:pPr>
      <w:r>
        <w:rPr>
          <w:bCs/>
        </w:rPr>
        <w:t>Напомним, что в состав кредиторской задолженности входят обязательства предприятия по расчетам за товары, задолженность по выданным векселям, оплате труда, социальному страхованию и обеспечению, имущественно</w:t>
      </w:r>
      <w:r>
        <w:rPr>
          <w:bCs/>
        </w:rPr>
        <w:softHyphen/>
        <w:t>му страхованию, внебюджетным платежам, расчетам с бюджетом, а также по расчетам с прочими кредиторами.  Кредиторская за</w:t>
      </w:r>
      <w:r>
        <w:rPr>
          <w:bCs/>
        </w:rPr>
        <w:softHyphen/>
        <w:t>долженность фактически пополняет заемные средства и, следова</w:t>
      </w:r>
      <w:r>
        <w:rPr>
          <w:bCs/>
        </w:rPr>
        <w:softHyphen/>
        <w:t>тельно, наращивает рентабельность собственных средств и дивидендные возможности предприятия [6].</w:t>
      </w:r>
    </w:p>
    <w:p w:rsidR="000218F7" w:rsidRDefault="000218F7" w:rsidP="000218F7">
      <w:pPr>
        <w:shd w:val="clear" w:color="auto" w:fill="FFFFFF"/>
        <w:autoSpaceDE w:val="0"/>
        <w:ind w:firstLine="708"/>
        <w:rPr>
          <w:bCs/>
        </w:rPr>
      </w:pPr>
      <w:r>
        <w:rPr>
          <w:bCs/>
        </w:rPr>
        <w:t>Произведем аналогичные расчеты с учетом кредиторской задол</w:t>
      </w:r>
      <w:r>
        <w:rPr>
          <w:bCs/>
        </w:rPr>
        <w:softHyphen/>
        <w:t>женности, результаты покажем в табл. 7.</w:t>
      </w:r>
    </w:p>
    <w:p w:rsidR="000218F7" w:rsidRDefault="000218F7" w:rsidP="00AE2E42">
      <w:pPr>
        <w:shd w:val="clear" w:color="auto" w:fill="FFFFFF"/>
        <w:autoSpaceDE w:val="0"/>
        <w:ind w:firstLine="708"/>
        <w:rPr>
          <w:color w:val="000000"/>
          <w:sz w:val="24"/>
        </w:rPr>
      </w:pPr>
      <w:r>
        <w:rPr>
          <w:bCs/>
        </w:rPr>
        <w:t>Таблица 7. Финансовые результаты с учетом кредиторской задолженности</w:t>
      </w:r>
    </w:p>
    <w:tbl>
      <w:tblPr>
        <w:tblW w:w="9645" w:type="dxa"/>
        <w:tblInd w:w="103" w:type="dxa"/>
        <w:tblLook w:val="04A0" w:firstRow="1" w:lastRow="0" w:firstColumn="1" w:lastColumn="0" w:noHBand="0" w:noVBand="1"/>
      </w:tblPr>
      <w:tblGrid>
        <w:gridCol w:w="6526"/>
        <w:gridCol w:w="1276"/>
        <w:gridCol w:w="1843"/>
      </w:tblGrid>
      <w:tr w:rsidR="00AE2E42" w:rsidRPr="00AE2E42" w:rsidTr="00AE2E42">
        <w:trPr>
          <w:trHeight w:val="312"/>
        </w:trPr>
        <w:tc>
          <w:tcPr>
            <w:tcW w:w="6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Показатели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1-й вариант</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2-й вариант</w:t>
            </w:r>
          </w:p>
        </w:tc>
      </w:tr>
      <w:tr w:rsidR="00AE2E42" w:rsidRPr="00AE2E42" w:rsidTr="00AE2E42">
        <w:trPr>
          <w:trHeight w:val="302"/>
        </w:trPr>
        <w:tc>
          <w:tcPr>
            <w:tcW w:w="6526"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Нетто-результат НРЭИ = БП + СРСП х ЗС, млн. руб.</w:t>
            </w:r>
          </w:p>
        </w:tc>
        <w:tc>
          <w:tcPr>
            <w:tcW w:w="127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462</w:t>
            </w:r>
          </w:p>
        </w:tc>
        <w:tc>
          <w:tcPr>
            <w:tcW w:w="1843"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612</w:t>
            </w:r>
          </w:p>
        </w:tc>
      </w:tr>
      <w:tr w:rsidR="00AE2E42" w:rsidRPr="00AE2E42" w:rsidTr="00AE2E42">
        <w:trPr>
          <w:trHeight w:val="312"/>
        </w:trPr>
        <w:tc>
          <w:tcPr>
            <w:tcW w:w="6526"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Экономическая рентабельность ЭР = НРЭИ / Активы х 100, %</w:t>
            </w:r>
          </w:p>
        </w:tc>
        <w:tc>
          <w:tcPr>
            <w:tcW w:w="127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24,92</w:t>
            </w:r>
          </w:p>
        </w:tc>
        <w:tc>
          <w:tcPr>
            <w:tcW w:w="1843"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31,38</w:t>
            </w:r>
          </w:p>
        </w:tc>
      </w:tr>
      <w:tr w:rsidR="00AE2E42" w:rsidRPr="00AE2E42" w:rsidTr="00AE2E42">
        <w:trPr>
          <w:trHeight w:val="142"/>
        </w:trPr>
        <w:tc>
          <w:tcPr>
            <w:tcW w:w="6526"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Сила воздействия финансового рычага СВФР = НРЭИ / БП</w:t>
            </w:r>
          </w:p>
        </w:tc>
        <w:tc>
          <w:tcPr>
            <w:tcW w:w="127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1,54</w:t>
            </w:r>
          </w:p>
        </w:tc>
        <w:tc>
          <w:tcPr>
            <w:tcW w:w="1843"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2,04</w:t>
            </w:r>
          </w:p>
        </w:tc>
      </w:tr>
      <w:tr w:rsidR="00AE2E42" w:rsidRPr="00AE2E42" w:rsidTr="00AE2E42">
        <w:trPr>
          <w:trHeight w:val="82"/>
        </w:trPr>
        <w:tc>
          <w:tcPr>
            <w:tcW w:w="6526"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Плечо финансового рычага ПФР = ЗС / СС</w:t>
            </w:r>
          </w:p>
        </w:tc>
        <w:tc>
          <w:tcPr>
            <w:tcW w:w="127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0,94</w:t>
            </w:r>
          </w:p>
        </w:tc>
        <w:tc>
          <w:tcPr>
            <w:tcW w:w="1843"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1,60</w:t>
            </w:r>
          </w:p>
        </w:tc>
      </w:tr>
      <w:tr w:rsidR="00AE2E42" w:rsidRPr="00AE2E42" w:rsidTr="00AE2E42">
        <w:trPr>
          <w:trHeight w:val="278"/>
        </w:trPr>
        <w:tc>
          <w:tcPr>
            <w:tcW w:w="6526"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Эффект финансового рычага ЭФР = (1-СНО) х (ЭР – СРСП) х ПФР, %</w:t>
            </w:r>
          </w:p>
        </w:tc>
        <w:tc>
          <w:tcPr>
            <w:tcW w:w="127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5,22</w:t>
            </w:r>
          </w:p>
        </w:tc>
        <w:tc>
          <w:tcPr>
            <w:tcW w:w="1843"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6,89</w:t>
            </w:r>
          </w:p>
        </w:tc>
      </w:tr>
      <w:tr w:rsidR="00AE2E42" w:rsidRPr="00AE2E42" w:rsidTr="00AE2E42">
        <w:trPr>
          <w:trHeight w:val="144"/>
        </w:trPr>
        <w:tc>
          <w:tcPr>
            <w:tcW w:w="6526"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Рентабельность собственных средств РСС = (1 – СНО) х ЭР + ЭФР, %</w:t>
            </w:r>
          </w:p>
        </w:tc>
        <w:tc>
          <w:tcPr>
            <w:tcW w:w="127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25,16</w:t>
            </w:r>
          </w:p>
        </w:tc>
        <w:tc>
          <w:tcPr>
            <w:tcW w:w="1843"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32,00</w:t>
            </w:r>
          </w:p>
        </w:tc>
      </w:tr>
      <w:tr w:rsidR="00AE2E42" w:rsidRPr="00AE2E42" w:rsidTr="00AE2E42">
        <w:trPr>
          <w:trHeight w:val="149"/>
        </w:trPr>
        <w:tc>
          <w:tcPr>
            <w:tcW w:w="6526"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Уровень сопряженного эффекта УСЭ = СВОР х СВФР, %</w:t>
            </w:r>
          </w:p>
        </w:tc>
        <w:tc>
          <w:tcPr>
            <w:tcW w:w="127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13,86</w:t>
            </w:r>
          </w:p>
        </w:tc>
        <w:tc>
          <w:tcPr>
            <w:tcW w:w="1843"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t>9,25</w:t>
            </w:r>
          </w:p>
        </w:tc>
      </w:tr>
    </w:tbl>
    <w:p w:rsidR="000218F7" w:rsidRDefault="000218F7" w:rsidP="000218F7">
      <w:pPr>
        <w:shd w:val="clear" w:color="auto" w:fill="FFFFFF"/>
        <w:autoSpaceDE w:val="0"/>
        <w:ind w:firstLine="720"/>
        <w:rPr>
          <w:bCs/>
        </w:rPr>
      </w:pPr>
      <w:r>
        <w:rPr>
          <w:bCs/>
        </w:rPr>
        <w:lastRenderedPageBreak/>
        <w:t>Перерасчет показывает (рис. 3, 4):</w:t>
      </w:r>
    </w:p>
    <w:p w:rsidR="000218F7" w:rsidRDefault="000218F7" w:rsidP="000218F7">
      <w:pPr>
        <w:numPr>
          <w:ilvl w:val="0"/>
          <w:numId w:val="3"/>
        </w:numPr>
        <w:shd w:val="clear" w:color="auto" w:fill="FFFFFF"/>
        <w:suppressAutoHyphens/>
        <w:autoSpaceDE w:val="0"/>
        <w:rPr>
          <w:bCs/>
        </w:rPr>
      </w:pPr>
      <w:r>
        <w:rPr>
          <w:bCs/>
        </w:rPr>
        <w:t>экономическая рентабельность активов уменьшается;</w:t>
      </w:r>
    </w:p>
    <w:p w:rsidR="000218F7" w:rsidRDefault="000218F7" w:rsidP="000218F7">
      <w:pPr>
        <w:numPr>
          <w:ilvl w:val="0"/>
          <w:numId w:val="3"/>
        </w:numPr>
        <w:shd w:val="clear" w:color="auto" w:fill="FFFFFF"/>
        <w:suppressAutoHyphens/>
        <w:autoSpaceDE w:val="0"/>
        <w:rPr>
          <w:bCs/>
        </w:rPr>
      </w:pPr>
      <w:r>
        <w:rPr>
          <w:bCs/>
        </w:rPr>
        <w:t>нетто-результат эксплуатации инвестиций, плечо финансового рычага, сила воздействия операционного рычага и уровень эффекта финансового рычага возрастает;</w:t>
      </w:r>
    </w:p>
    <w:p w:rsidR="000218F7" w:rsidRDefault="000218F7" w:rsidP="000218F7">
      <w:pPr>
        <w:numPr>
          <w:ilvl w:val="0"/>
          <w:numId w:val="3"/>
        </w:numPr>
        <w:shd w:val="clear" w:color="auto" w:fill="FFFFFF"/>
        <w:suppressAutoHyphens/>
        <w:autoSpaceDE w:val="0"/>
      </w:pPr>
      <w:r>
        <w:rPr>
          <w:bCs/>
        </w:rPr>
        <w:t>рентабельность собственных средств не изменяется.</w:t>
      </w:r>
    </w:p>
    <w:p w:rsidR="000218F7" w:rsidRDefault="00AE2E42" w:rsidP="000218F7">
      <w:pPr>
        <w:shd w:val="clear" w:color="auto" w:fill="FFFFFF"/>
        <w:autoSpaceDE w:val="0"/>
        <w:ind w:firstLine="708"/>
        <w:rPr>
          <w:bCs/>
        </w:rPr>
      </w:pPr>
      <w:r>
        <w:rPr>
          <w:noProof/>
        </w:rPr>
        <w:drawing>
          <wp:inline distT="0" distB="0" distL="0" distR="0" wp14:anchorId="41C097BF" wp14:editId="1ADC3A97">
            <wp:extent cx="4792980" cy="3272790"/>
            <wp:effectExtent l="0" t="0" r="26670" b="2286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218F7" w:rsidRDefault="000218F7" w:rsidP="000218F7">
      <w:pPr>
        <w:shd w:val="clear" w:color="auto" w:fill="FFFFFF"/>
        <w:autoSpaceDE w:val="0"/>
        <w:ind w:firstLine="720"/>
        <w:jc w:val="center"/>
      </w:pPr>
      <w:r>
        <w:rPr>
          <w:bCs/>
        </w:rPr>
        <w:t>Рис. 3 - Сравнение финансовых результатов с учетом и без учета кредиторской задолженности (1 вариант)</w:t>
      </w:r>
    </w:p>
    <w:p w:rsidR="000218F7" w:rsidRDefault="00AE2E42" w:rsidP="000218F7">
      <w:pPr>
        <w:shd w:val="clear" w:color="auto" w:fill="FFFFFF"/>
        <w:autoSpaceDE w:val="0"/>
        <w:ind w:firstLine="708"/>
        <w:rPr>
          <w:bCs/>
        </w:rPr>
      </w:pPr>
      <w:r>
        <w:rPr>
          <w:noProof/>
        </w:rPr>
        <w:lastRenderedPageBreak/>
        <w:drawing>
          <wp:inline distT="0" distB="0" distL="0" distR="0" wp14:anchorId="50610DE5" wp14:editId="749D9333">
            <wp:extent cx="5113020" cy="3432810"/>
            <wp:effectExtent l="0" t="0" r="11430" b="1524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218F7" w:rsidRDefault="000218F7" w:rsidP="000218F7">
      <w:pPr>
        <w:shd w:val="clear" w:color="auto" w:fill="FFFFFF"/>
        <w:autoSpaceDE w:val="0"/>
        <w:ind w:firstLine="708"/>
        <w:jc w:val="center"/>
        <w:rPr>
          <w:bCs/>
        </w:rPr>
      </w:pPr>
      <w:r>
        <w:rPr>
          <w:bCs/>
        </w:rPr>
        <w:t>Рис. 4 - Сравнение финансовых результатов с учетом и без учета кредиторской задолженности (2 вариант)</w:t>
      </w:r>
    </w:p>
    <w:p w:rsidR="000218F7" w:rsidRDefault="000218F7" w:rsidP="000218F7">
      <w:pPr>
        <w:shd w:val="clear" w:color="auto" w:fill="FFFFFF"/>
        <w:autoSpaceDE w:val="0"/>
        <w:ind w:firstLine="708"/>
        <w:rPr>
          <w:bCs/>
        </w:rPr>
      </w:pPr>
    </w:p>
    <w:p w:rsidR="000218F7" w:rsidRDefault="000218F7" w:rsidP="000218F7">
      <w:pPr>
        <w:shd w:val="clear" w:color="auto" w:fill="FFFFFF"/>
        <w:autoSpaceDE w:val="0"/>
        <w:ind w:firstLine="708"/>
        <w:rPr>
          <w:bCs/>
        </w:rPr>
      </w:pPr>
      <w:r>
        <w:rPr>
          <w:bCs/>
        </w:rPr>
        <w:t>Таким образом, кредиторская задолженность увеличивает уро</w:t>
      </w:r>
      <w:r>
        <w:rPr>
          <w:bCs/>
        </w:rPr>
        <w:softHyphen/>
        <w:t>вень сопряженного эффекта операционного и финансового рыча</w:t>
      </w:r>
      <w:r>
        <w:rPr>
          <w:bCs/>
        </w:rPr>
        <w:softHyphen/>
        <w:t xml:space="preserve">гов. </w:t>
      </w:r>
    </w:p>
    <w:p w:rsidR="000218F7" w:rsidRDefault="000218F7" w:rsidP="000218F7">
      <w:pPr>
        <w:shd w:val="clear" w:color="auto" w:fill="FFFFFF"/>
        <w:autoSpaceDE w:val="0"/>
        <w:ind w:firstLine="708"/>
        <w:rPr>
          <w:bCs/>
        </w:rPr>
      </w:pPr>
      <w:r>
        <w:rPr>
          <w:bCs/>
        </w:rPr>
        <w:t>Полученные по расчетам величины экономической рентабель</w:t>
      </w:r>
      <w:r>
        <w:rPr>
          <w:bCs/>
        </w:rPr>
        <w:softHyphen/>
        <w:t>ности в сочетании с плечом финансового рычага говорят о том, что предприятию не следует обращаться за кредитом, оно должно обходиться собственными средствами. Возможно, что генерирует</w:t>
      </w:r>
      <w:r>
        <w:rPr>
          <w:bCs/>
        </w:rPr>
        <w:softHyphen/>
        <w:t>ся недостаточно ликвидных средств, или недостаток денег связан с ростом дебиторской задолженности. Но так как уровень эконо</w:t>
      </w:r>
      <w:r>
        <w:rPr>
          <w:bCs/>
        </w:rPr>
        <w:softHyphen/>
        <w:t>мической рентабельности достаточно высок, предприятие явно обеспечивает значительный оборот.</w:t>
      </w:r>
    </w:p>
    <w:p w:rsidR="000218F7" w:rsidRDefault="000218F7" w:rsidP="000218F7">
      <w:pPr>
        <w:shd w:val="clear" w:color="auto" w:fill="FFFFFF"/>
        <w:autoSpaceDE w:val="0"/>
        <w:ind w:firstLine="708"/>
        <w:rPr>
          <w:bCs/>
        </w:rPr>
      </w:pPr>
      <w:r>
        <w:rPr>
          <w:bCs/>
        </w:rPr>
        <w:t>Можно предположить, что предприятие часть доходов использует на удовлетворение финансово-эксплуатационных нужд. Под решение этой краткосрочной задачи и подстраивается кредитор</w:t>
      </w:r>
      <w:r>
        <w:rPr>
          <w:bCs/>
        </w:rPr>
        <w:softHyphen/>
        <w:t>ская   задолженность. А для решения стратегических задач типа освоения новой продукции предприятие обращается за кредитом.</w:t>
      </w:r>
    </w:p>
    <w:p w:rsidR="000218F7" w:rsidRDefault="000218F7" w:rsidP="000218F7">
      <w:pPr>
        <w:shd w:val="clear" w:color="auto" w:fill="FFFFFF"/>
        <w:autoSpaceDE w:val="0"/>
        <w:ind w:firstLine="708"/>
        <w:rPr>
          <w:bCs/>
        </w:rPr>
      </w:pPr>
      <w:r>
        <w:rPr>
          <w:bCs/>
        </w:rPr>
        <w:lastRenderedPageBreak/>
        <w:t>При решении вопросов, связанных с получением кредитов с помощью формулы СВФР, надо исключать кредиторскую задол</w:t>
      </w:r>
      <w:r>
        <w:rPr>
          <w:bCs/>
        </w:rPr>
        <w:softHyphen/>
        <w:t>женность из всех расчетов.</w:t>
      </w:r>
    </w:p>
    <w:p w:rsidR="000218F7" w:rsidRDefault="000218F7" w:rsidP="000218F7">
      <w:pPr>
        <w:shd w:val="clear" w:color="auto" w:fill="FFFFFF"/>
        <w:autoSpaceDE w:val="0"/>
        <w:ind w:firstLine="708"/>
        <w:rPr>
          <w:bCs/>
        </w:rPr>
      </w:pPr>
      <w:r>
        <w:rPr>
          <w:bCs/>
        </w:rPr>
        <w:t xml:space="preserve">В случае обращения предприятия за кредитом, необходимо иметь в виду то, что подтверждают выполненные расчеты (см. табл. 12 и 13), а именно:  </w:t>
      </w:r>
    </w:p>
    <w:p w:rsidR="000218F7" w:rsidRDefault="000218F7" w:rsidP="000218F7">
      <w:pPr>
        <w:numPr>
          <w:ilvl w:val="0"/>
          <w:numId w:val="1"/>
        </w:numPr>
        <w:shd w:val="clear" w:color="auto" w:fill="FFFFFF"/>
        <w:suppressAutoHyphens/>
        <w:autoSpaceDE w:val="0"/>
        <w:rPr>
          <w:bCs/>
        </w:rPr>
      </w:pPr>
      <w:r>
        <w:rPr>
          <w:bCs/>
        </w:rPr>
        <w:t>Чем меньше предприятие использует заемные средства, тем ниже рентабельность собственных средств.</w:t>
      </w:r>
    </w:p>
    <w:p w:rsidR="000218F7" w:rsidRDefault="000218F7" w:rsidP="000218F7">
      <w:pPr>
        <w:numPr>
          <w:ilvl w:val="0"/>
          <w:numId w:val="1"/>
        </w:numPr>
        <w:shd w:val="clear" w:color="auto" w:fill="FFFFFF"/>
        <w:suppressAutoHyphens/>
        <w:autoSpaceDE w:val="0"/>
        <w:rPr>
          <w:bCs/>
        </w:rPr>
      </w:pPr>
      <w:r>
        <w:rPr>
          <w:bCs/>
        </w:rPr>
        <w:t>При использовании кредита рентабельность собственных средств растет в зависимости от соотношения заемных и собственных средств и от величины процентной ставки. При этом 1/5 рентабельности активов теряется из-за налогообложения.</w:t>
      </w:r>
    </w:p>
    <w:p w:rsidR="000218F7" w:rsidRDefault="000218F7" w:rsidP="000218F7">
      <w:pPr>
        <w:numPr>
          <w:ilvl w:val="0"/>
          <w:numId w:val="1"/>
        </w:numPr>
        <w:shd w:val="clear" w:color="auto" w:fill="FFFFFF"/>
        <w:suppressAutoHyphens/>
        <w:autoSpaceDE w:val="0"/>
        <w:rPr>
          <w:bCs/>
        </w:rPr>
      </w:pPr>
      <w:r>
        <w:rPr>
          <w:bCs/>
        </w:rPr>
        <w:t>Эффект финансового рычага возникает из-за расхождения между экономической рентабельностью и «ценой» заемных средств (средней расчетной ставкой процента). Значит, эко</w:t>
      </w:r>
      <w:r w:rsidR="00547FF3">
        <w:rPr>
          <w:bCs/>
        </w:rPr>
        <w:t>номическая рентабельность дол</w:t>
      </w:r>
      <w:r w:rsidR="00547FF3">
        <w:rPr>
          <w:bCs/>
        </w:rPr>
        <w:softHyphen/>
        <w:t>ж</w:t>
      </w:r>
      <w:r>
        <w:rPr>
          <w:bCs/>
        </w:rPr>
        <w:t>на быть больше или равна этой ставке, иначе эффект финансового рычага действует во вред предприятию. Таким образом, эффект финансового рычага показывает безо</w:t>
      </w:r>
      <w:r>
        <w:rPr>
          <w:bCs/>
        </w:rPr>
        <w:softHyphen/>
        <w:t>пасный объем привлечения заемных средств. Западные экономисты считают, что ЭФР оптимально должен быть равен от 1/3 до 1/5 ЭР. Тогда эффект рычага способен ком</w:t>
      </w:r>
      <w:r>
        <w:rPr>
          <w:bCs/>
        </w:rPr>
        <w:softHyphen/>
        <w:t>пенсировать налоговые изъятия и обеспечить собственным сред</w:t>
      </w:r>
      <w:r>
        <w:rPr>
          <w:bCs/>
        </w:rPr>
        <w:softHyphen/>
        <w:t>ствам достойную отдачу, снизить риск.</w:t>
      </w:r>
    </w:p>
    <w:p w:rsidR="000218F7" w:rsidRDefault="000218F7" w:rsidP="000218F7">
      <w:pPr>
        <w:numPr>
          <w:ilvl w:val="0"/>
          <w:numId w:val="1"/>
        </w:numPr>
        <w:shd w:val="clear" w:color="auto" w:fill="FFFFFF"/>
        <w:suppressAutoHyphens/>
        <w:autoSpaceDE w:val="0"/>
        <w:rPr>
          <w:bCs/>
        </w:rPr>
      </w:pPr>
      <w:r>
        <w:rPr>
          <w:bCs/>
        </w:rPr>
        <w:t xml:space="preserve">Чем больше сила воздействия финансового рычага, тем больше риск </w:t>
      </w:r>
      <w:r w:rsidR="00547FF3">
        <w:rPr>
          <w:bCs/>
        </w:rPr>
        <w:t>не возмещения</w:t>
      </w:r>
      <w:r>
        <w:rPr>
          <w:bCs/>
        </w:rPr>
        <w:t xml:space="preserve"> кредита с процентами для банкира и падение дивиденда и курса акций для инвестора.</w:t>
      </w:r>
    </w:p>
    <w:p w:rsidR="000218F7" w:rsidRDefault="000218F7" w:rsidP="000218F7">
      <w:pPr>
        <w:numPr>
          <w:ilvl w:val="0"/>
          <w:numId w:val="1"/>
        </w:numPr>
        <w:shd w:val="clear" w:color="auto" w:fill="FFFFFF"/>
        <w:suppressAutoHyphens/>
        <w:autoSpaceDE w:val="0"/>
        <w:rPr>
          <w:bCs/>
        </w:rPr>
      </w:pPr>
      <w:r>
        <w:rPr>
          <w:bCs/>
        </w:rPr>
        <w:t>Взаимодействие операционного и финансового рычагов усу</w:t>
      </w:r>
      <w:r>
        <w:rPr>
          <w:bCs/>
        </w:rPr>
        <w:softHyphen/>
        <w:t>губляет негативное воздействие сокращающейся выручки от реа</w:t>
      </w:r>
      <w:r>
        <w:rPr>
          <w:bCs/>
        </w:rPr>
        <w:softHyphen/>
        <w:t>лизации на величину нетто-результата эксплуатации инвестиций и чистой прибыли.</w:t>
      </w:r>
    </w:p>
    <w:p w:rsidR="000218F7" w:rsidRDefault="000218F7" w:rsidP="000218F7">
      <w:pPr>
        <w:shd w:val="clear" w:color="auto" w:fill="FFFFFF"/>
        <w:autoSpaceDE w:val="0"/>
        <w:ind w:firstLine="708"/>
        <w:rPr>
          <w:bCs/>
        </w:rPr>
      </w:pPr>
      <w:r>
        <w:rPr>
          <w:bCs/>
        </w:rPr>
        <w:lastRenderedPageBreak/>
        <w:t>Задача снижения совокупного риска сводится к выбору одного из трех вариантов:</w:t>
      </w:r>
    </w:p>
    <w:p w:rsidR="000218F7" w:rsidRDefault="000218F7" w:rsidP="000218F7">
      <w:pPr>
        <w:numPr>
          <w:ilvl w:val="0"/>
          <w:numId w:val="5"/>
        </w:numPr>
        <w:shd w:val="clear" w:color="auto" w:fill="FFFFFF"/>
        <w:suppressAutoHyphens/>
        <w:autoSpaceDE w:val="0"/>
        <w:rPr>
          <w:bCs/>
        </w:rPr>
      </w:pPr>
      <w:r>
        <w:rPr>
          <w:bCs/>
        </w:rPr>
        <w:t>Высокий уровень ЭФР в сочетании со слабой СВОР.</w:t>
      </w:r>
    </w:p>
    <w:p w:rsidR="000218F7" w:rsidRDefault="000218F7" w:rsidP="000218F7">
      <w:pPr>
        <w:numPr>
          <w:ilvl w:val="0"/>
          <w:numId w:val="5"/>
        </w:numPr>
        <w:shd w:val="clear" w:color="auto" w:fill="FFFFFF"/>
        <w:suppressAutoHyphens/>
        <w:autoSpaceDE w:val="0"/>
        <w:rPr>
          <w:bCs/>
        </w:rPr>
      </w:pPr>
      <w:r>
        <w:rPr>
          <w:bCs/>
        </w:rPr>
        <w:t>Низкий уровень ЭФР в сочетании с большой СВОР.</w:t>
      </w:r>
    </w:p>
    <w:p w:rsidR="000218F7" w:rsidRDefault="000218F7" w:rsidP="000218F7">
      <w:pPr>
        <w:numPr>
          <w:ilvl w:val="0"/>
          <w:numId w:val="5"/>
        </w:numPr>
        <w:shd w:val="clear" w:color="auto" w:fill="FFFFFF"/>
        <w:suppressAutoHyphens/>
        <w:autoSpaceDE w:val="0"/>
        <w:rPr>
          <w:bCs/>
        </w:rPr>
      </w:pPr>
      <w:r>
        <w:rPr>
          <w:bCs/>
        </w:rPr>
        <w:t>Умеренные уровни СВОР и СВФР.</w:t>
      </w:r>
    </w:p>
    <w:p w:rsidR="000218F7" w:rsidRDefault="000218F7" w:rsidP="000218F7">
      <w:pPr>
        <w:shd w:val="clear" w:color="auto" w:fill="FFFFFF"/>
        <w:autoSpaceDE w:val="0"/>
        <w:ind w:firstLine="708"/>
        <w:rPr>
          <w:bCs/>
          <w:sz w:val="24"/>
        </w:rPr>
      </w:pPr>
      <w:r>
        <w:rPr>
          <w:bCs/>
        </w:rPr>
        <w:t>Критерием выбора оптимальной структуры капитала служит максимум курсовой стоимости акции при достаточной безопасности инвесторов.</w:t>
      </w:r>
    </w:p>
    <w:p w:rsidR="000218F7" w:rsidRDefault="000218F7" w:rsidP="000218F7">
      <w:pPr>
        <w:shd w:val="clear" w:color="auto" w:fill="FFFFFF"/>
        <w:autoSpaceDE w:val="0"/>
        <w:ind w:firstLine="708"/>
        <w:rPr>
          <w:bCs/>
        </w:rPr>
      </w:pPr>
    </w:p>
    <w:p w:rsidR="000218F7" w:rsidRDefault="000218F7" w:rsidP="000218F7">
      <w:pPr>
        <w:spacing w:line="240" w:lineRule="auto"/>
        <w:ind w:firstLine="0"/>
        <w:jc w:val="left"/>
        <w:rPr>
          <w:b/>
        </w:rPr>
      </w:pPr>
      <w:r>
        <w:br w:type="page"/>
      </w:r>
    </w:p>
    <w:p w:rsidR="000218F7" w:rsidRDefault="00C956D8" w:rsidP="000218F7">
      <w:pPr>
        <w:pStyle w:val="1"/>
      </w:pPr>
      <w:bookmarkStart w:id="6" w:name="_Toc514353584"/>
      <w:r>
        <w:lastRenderedPageBreak/>
        <w:t>4</w:t>
      </w:r>
      <w:r w:rsidR="000218F7">
        <w:t>. Выбор рациональной структуры капитала предприятия</w:t>
      </w:r>
      <w:bookmarkEnd w:id="6"/>
    </w:p>
    <w:p w:rsidR="000218F7" w:rsidRDefault="000218F7" w:rsidP="001B7D23">
      <w:pPr>
        <w:shd w:val="clear" w:color="auto" w:fill="FFFFFF"/>
        <w:autoSpaceDE w:val="0"/>
        <w:ind w:firstLine="0"/>
        <w:rPr>
          <w:bCs/>
        </w:rPr>
      </w:pPr>
    </w:p>
    <w:p w:rsidR="000218F7" w:rsidRDefault="000218F7" w:rsidP="000218F7">
      <w:pPr>
        <w:shd w:val="clear" w:color="auto" w:fill="FFFFFF"/>
        <w:autoSpaceDE w:val="0"/>
        <w:ind w:firstLine="708"/>
        <w:rPr>
          <w:bCs/>
        </w:rPr>
      </w:pPr>
      <w:r>
        <w:rPr>
          <w:bCs/>
        </w:rPr>
        <w:t>На экономическое состояние предприятия влияет привлечение заемных средств. Степень влияния зависит от соотношения заем</w:t>
      </w:r>
      <w:r>
        <w:rPr>
          <w:bCs/>
        </w:rPr>
        <w:softHyphen/>
        <w:t>ных и собственных средств.</w:t>
      </w:r>
    </w:p>
    <w:p w:rsidR="000218F7" w:rsidRDefault="000218F7" w:rsidP="000218F7">
      <w:pPr>
        <w:shd w:val="clear" w:color="auto" w:fill="FFFFFF"/>
        <w:autoSpaceDE w:val="0"/>
        <w:ind w:firstLine="708"/>
        <w:rPr>
          <w:bCs/>
        </w:rPr>
      </w:pPr>
      <w:r>
        <w:rPr>
          <w:bCs/>
        </w:rPr>
        <w:t>В формировании рациональной структуры источников средств исходят из самой общей целевой установки: найти такое соот</w:t>
      </w:r>
      <w:r>
        <w:rPr>
          <w:bCs/>
        </w:rPr>
        <w:softHyphen/>
        <w:t>ношение между заемными и собственными средствами, при котором стоимость акций предприятия будет наивысшей.</w:t>
      </w:r>
    </w:p>
    <w:p w:rsidR="000218F7" w:rsidRDefault="000218F7" w:rsidP="000218F7">
      <w:pPr>
        <w:shd w:val="clear" w:color="auto" w:fill="FFFFFF"/>
        <w:autoSpaceDE w:val="0"/>
        <w:ind w:firstLine="708"/>
        <w:rPr>
          <w:bCs/>
        </w:rPr>
      </w:pPr>
      <w:r>
        <w:rPr>
          <w:bCs/>
        </w:rPr>
        <w:t>С одной стороны высокий удельный вес заемных средств в пассивах свидетельствует о повышенном риске банкротства; с другой - инвес</w:t>
      </w:r>
      <w:r>
        <w:rPr>
          <w:bCs/>
        </w:rPr>
        <w:softHyphen/>
        <w:t>торы, получая скромные дивиденды, продают акции, снижая ры</w:t>
      </w:r>
      <w:r>
        <w:rPr>
          <w:bCs/>
        </w:rPr>
        <w:softHyphen/>
        <w:t>ночную стоимость предприятия.</w:t>
      </w:r>
    </w:p>
    <w:p w:rsidR="000218F7" w:rsidRDefault="000218F7" w:rsidP="000218F7">
      <w:pPr>
        <w:shd w:val="clear" w:color="auto" w:fill="FFFFFF"/>
        <w:autoSpaceDE w:val="0"/>
        <w:ind w:firstLine="708"/>
        <w:rPr>
          <w:bCs/>
        </w:rPr>
      </w:pPr>
      <w:r>
        <w:rPr>
          <w:bCs/>
        </w:rPr>
        <w:t>В то же время предприятию не стоит до конца использовать свою заемную способность, сохраняя резерв финансовой гибко</w:t>
      </w:r>
      <w:r>
        <w:rPr>
          <w:bCs/>
        </w:rPr>
        <w:softHyphen/>
        <w:t>сти, чтобы иметь возможность привлечь кредиты на нормальных условиях.</w:t>
      </w:r>
    </w:p>
    <w:p w:rsidR="000218F7" w:rsidRDefault="000218F7" w:rsidP="000218F7">
      <w:pPr>
        <w:shd w:val="clear" w:color="auto" w:fill="FFFFFF"/>
        <w:autoSpaceDE w:val="0"/>
        <w:ind w:firstLine="708"/>
      </w:pPr>
      <w:r>
        <w:rPr>
          <w:bCs/>
        </w:rPr>
        <w:t>Опытные финансовые менеджеры США считают, что лучше не доводить заемные средства в пассивах до 40%. Этому значению соответствует плечо финансового рычага 0,67. Отечественные экономисты рекомендуют использовать соотношение ЭР = = 2СРСП, считая, что безопасное плечо финансового рычага имеет ограничения</w:t>
      </w:r>
    </w:p>
    <w:p w:rsidR="000218F7" w:rsidRDefault="000218F7" w:rsidP="000218F7">
      <w:pPr>
        <w:shd w:val="clear" w:color="auto" w:fill="FFFFFF"/>
        <w:autoSpaceDE w:val="0"/>
        <w:rPr>
          <w:bCs/>
        </w:rPr>
      </w:pPr>
      <w:r w:rsidRPr="00041B4B">
        <w:rPr>
          <w:position w:val="-24"/>
        </w:rPr>
        <w:object w:dxaOrig="1600" w:dyaOrig="620">
          <v:shape id="_x0000_i1035" type="#_x0000_t75" style="width:79.5pt;height:31.5pt" o:ole="" filled="t">
            <v:fill color2="black"/>
            <v:imagedata r:id="rId35" o:title=""/>
          </v:shape>
          <o:OLEObject Type="Embed" ProgID="Equation.3" ShapeID="_x0000_i1035" DrawAspect="Content" ObjectID="_1588176131" r:id="rId36"/>
        </w:object>
      </w:r>
      <w:r>
        <w:rPr>
          <w:bCs/>
        </w:rPr>
        <w:t xml:space="preserve">                                                                                                        (7)</w:t>
      </w:r>
    </w:p>
    <w:p w:rsidR="000218F7" w:rsidRDefault="000218F7" w:rsidP="000218F7">
      <w:pPr>
        <w:shd w:val="clear" w:color="auto" w:fill="FFFFFF"/>
        <w:autoSpaceDE w:val="0"/>
        <w:ind w:firstLine="708"/>
        <w:rPr>
          <w:bCs/>
        </w:rPr>
      </w:pPr>
      <w:r>
        <w:rPr>
          <w:bCs/>
        </w:rPr>
        <w:t>Рассмотрим финансовые результаты рекомендуемых соотно</w:t>
      </w:r>
      <w:r>
        <w:rPr>
          <w:bCs/>
        </w:rPr>
        <w:softHyphen/>
        <w:t xml:space="preserve">шений заемных и собственных средств 0,67; 1; 1,5, а также </w:t>
      </w:r>
      <w:r w:rsidR="00547FF3">
        <w:rPr>
          <w:bCs/>
        </w:rPr>
        <w:t>без долговое</w:t>
      </w:r>
      <w:r>
        <w:rPr>
          <w:bCs/>
        </w:rPr>
        <w:t xml:space="preserve"> финансирование (ЗС / СС = 0) и сопоставим их с результатами обоих вариантов нашей ситуации (ЗС / СС = 0,6 и 1,3) (табл. 14, рис. 5).</w:t>
      </w:r>
    </w:p>
    <w:p w:rsidR="000218F7" w:rsidRDefault="000218F7" w:rsidP="000218F7">
      <w:pPr>
        <w:shd w:val="clear" w:color="auto" w:fill="FFFFFF"/>
        <w:autoSpaceDE w:val="0"/>
        <w:ind w:firstLine="708"/>
        <w:rPr>
          <w:bCs/>
        </w:rPr>
      </w:pPr>
    </w:p>
    <w:p w:rsidR="000218F7" w:rsidRDefault="000218F7" w:rsidP="00AE2E42">
      <w:pPr>
        <w:shd w:val="clear" w:color="auto" w:fill="FFFFFF"/>
        <w:autoSpaceDE w:val="0"/>
        <w:ind w:firstLine="708"/>
        <w:rPr>
          <w:color w:val="000000"/>
          <w:sz w:val="24"/>
        </w:rPr>
      </w:pPr>
      <w:r>
        <w:rPr>
          <w:bCs/>
        </w:rPr>
        <w:t>Таблица 7. Сводные расчеты финансовых результатов</w:t>
      </w:r>
    </w:p>
    <w:tbl>
      <w:tblPr>
        <w:tblW w:w="9644" w:type="dxa"/>
        <w:tblInd w:w="103" w:type="dxa"/>
        <w:tblLayout w:type="fixed"/>
        <w:tblLook w:val="04A0" w:firstRow="1" w:lastRow="0" w:firstColumn="1" w:lastColumn="0" w:noHBand="0" w:noVBand="1"/>
      </w:tblPr>
      <w:tblGrid>
        <w:gridCol w:w="3124"/>
        <w:gridCol w:w="996"/>
        <w:gridCol w:w="1140"/>
        <w:gridCol w:w="996"/>
        <w:gridCol w:w="1140"/>
        <w:gridCol w:w="1240"/>
        <w:gridCol w:w="1008"/>
      </w:tblGrid>
      <w:tr w:rsidR="00AE2E42" w:rsidRPr="00AE2E42" w:rsidTr="00547FF3">
        <w:trPr>
          <w:trHeight w:val="312"/>
        </w:trPr>
        <w:tc>
          <w:tcPr>
            <w:tcW w:w="31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jc w:val="center"/>
              <w:rPr>
                <w:color w:val="000000"/>
                <w:sz w:val="24"/>
              </w:rPr>
            </w:pPr>
            <w:r w:rsidRPr="00AE2E42">
              <w:rPr>
                <w:color w:val="000000"/>
                <w:sz w:val="24"/>
              </w:rPr>
              <w:lastRenderedPageBreak/>
              <w:t>Показатели</w:t>
            </w:r>
          </w:p>
        </w:tc>
        <w:tc>
          <w:tcPr>
            <w:tcW w:w="6520" w:type="dxa"/>
            <w:gridSpan w:val="6"/>
            <w:tcBorders>
              <w:top w:val="single" w:sz="4" w:space="0" w:color="auto"/>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Варианты соотношения ЗС / СС</w:t>
            </w:r>
          </w:p>
        </w:tc>
      </w:tr>
      <w:tr w:rsidR="00AE2E42" w:rsidRPr="00AE2E42" w:rsidTr="00547FF3">
        <w:trPr>
          <w:trHeight w:val="312"/>
        </w:trPr>
        <w:tc>
          <w:tcPr>
            <w:tcW w:w="3124" w:type="dxa"/>
            <w:vMerge/>
            <w:tcBorders>
              <w:top w:val="single" w:sz="4" w:space="0" w:color="auto"/>
              <w:left w:val="single" w:sz="4" w:space="0" w:color="auto"/>
              <w:bottom w:val="single" w:sz="4" w:space="0" w:color="auto"/>
              <w:right w:val="single" w:sz="4" w:space="0" w:color="auto"/>
            </w:tcBorders>
            <w:vAlign w:val="center"/>
            <w:hideMark/>
          </w:tcPr>
          <w:p w:rsidR="00AE2E42" w:rsidRPr="00AE2E42" w:rsidRDefault="00AE2E42" w:rsidP="00AE2E42">
            <w:pPr>
              <w:spacing w:line="240" w:lineRule="auto"/>
              <w:ind w:firstLine="0"/>
              <w:jc w:val="left"/>
              <w:rPr>
                <w:color w:val="000000"/>
                <w:sz w:val="24"/>
              </w:rPr>
            </w:pP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0,6</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0,67</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1,3</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1,5</w:t>
            </w:r>
          </w:p>
        </w:tc>
      </w:tr>
      <w:tr w:rsidR="00AE2E42" w:rsidRPr="00AE2E42" w:rsidTr="00547FF3">
        <w:trPr>
          <w:trHeight w:val="624"/>
        </w:trPr>
        <w:tc>
          <w:tcPr>
            <w:tcW w:w="312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ЗС / СС, %</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0 / 100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37, 5 / 62,5</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40 / 60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50 / 50</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56,25 / 43,75</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60 / 40</w:t>
            </w:r>
          </w:p>
        </w:tc>
      </w:tr>
      <w:tr w:rsidR="00AE2E42" w:rsidRPr="00AE2E42" w:rsidTr="00547FF3">
        <w:trPr>
          <w:trHeight w:val="312"/>
        </w:trPr>
        <w:tc>
          <w:tcPr>
            <w:tcW w:w="312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Активы А, млн. руб.</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1854,05</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1854,05</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1854,05</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1854,05</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1854,05</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1854,05</w:t>
            </w:r>
          </w:p>
        </w:tc>
      </w:tr>
      <w:tr w:rsidR="00AE2E42" w:rsidRPr="00AE2E42" w:rsidTr="00547FF3">
        <w:trPr>
          <w:trHeight w:val="312"/>
        </w:trPr>
        <w:tc>
          <w:tcPr>
            <w:tcW w:w="312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Заемные средства ЗС, млн. руб.</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695,2688</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741,62</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927,025</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1042,9031</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1112,43</w:t>
            </w:r>
          </w:p>
        </w:tc>
      </w:tr>
      <w:tr w:rsidR="00AE2E42" w:rsidRPr="00AE2E42" w:rsidTr="00547FF3">
        <w:trPr>
          <w:trHeight w:val="312"/>
        </w:trPr>
        <w:tc>
          <w:tcPr>
            <w:tcW w:w="312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Собственные средства СС, млн. руб.</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1854,05</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1158,781</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1112,43</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927,025</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811,14688</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741,62</w:t>
            </w:r>
          </w:p>
        </w:tc>
      </w:tr>
      <w:tr w:rsidR="00AE2E42" w:rsidRPr="00AE2E42" w:rsidTr="00547FF3">
        <w:trPr>
          <w:trHeight w:val="624"/>
        </w:trPr>
        <w:tc>
          <w:tcPr>
            <w:tcW w:w="312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Средняя расчетная ставка процента СРСП, %</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20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20</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20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20</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30</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30</w:t>
            </w:r>
          </w:p>
        </w:tc>
      </w:tr>
      <w:tr w:rsidR="00AE2E42" w:rsidRPr="00AE2E42" w:rsidTr="00547FF3">
        <w:trPr>
          <w:trHeight w:val="624"/>
        </w:trPr>
        <w:tc>
          <w:tcPr>
            <w:tcW w:w="312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Прибыль до налогообложения БП, млн. руб.</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300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300</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300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300</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300</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300</w:t>
            </w:r>
          </w:p>
        </w:tc>
      </w:tr>
      <w:tr w:rsidR="00AE2E42" w:rsidRPr="00AE2E42" w:rsidTr="00547FF3">
        <w:trPr>
          <w:trHeight w:val="624"/>
        </w:trPr>
        <w:tc>
          <w:tcPr>
            <w:tcW w:w="312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Нетто-результат  НРЭИ = БП + СРСП х ЗС, млн. руб.</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300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439,0538</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448,324</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485,405</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612,87094</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633,729</w:t>
            </w:r>
          </w:p>
        </w:tc>
      </w:tr>
      <w:tr w:rsidR="00AE2E42" w:rsidRPr="00AE2E42" w:rsidTr="00547FF3">
        <w:trPr>
          <w:trHeight w:val="624"/>
        </w:trPr>
        <w:tc>
          <w:tcPr>
            <w:tcW w:w="312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Экономическая рентабельность ЭР = НРЭИ / Активы х 100, %</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16,18</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37,89</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40,30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52,36</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75,56</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85,45</w:t>
            </w:r>
          </w:p>
        </w:tc>
      </w:tr>
      <w:tr w:rsidR="00AE2E42" w:rsidRPr="00AE2E42" w:rsidTr="00547FF3">
        <w:trPr>
          <w:trHeight w:val="624"/>
        </w:trPr>
        <w:tc>
          <w:tcPr>
            <w:tcW w:w="312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Эффект финансового рычага ЭФР = (1-СНО) х (ЭР – СРСП) х ПФР, %</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0,00</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8,59</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10,88</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25,89</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47,38</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66,54</w:t>
            </w:r>
          </w:p>
        </w:tc>
      </w:tr>
      <w:tr w:rsidR="00AE2E42" w:rsidRPr="00AE2E42" w:rsidTr="00547FF3">
        <w:trPr>
          <w:trHeight w:val="624"/>
        </w:trPr>
        <w:tc>
          <w:tcPr>
            <w:tcW w:w="3124" w:type="dxa"/>
            <w:tcBorders>
              <w:top w:val="nil"/>
              <w:left w:val="single" w:sz="4" w:space="0" w:color="auto"/>
              <w:bottom w:val="single" w:sz="4" w:space="0" w:color="auto"/>
              <w:right w:val="single" w:sz="4" w:space="0" w:color="auto"/>
            </w:tcBorders>
            <w:shd w:val="clear" w:color="auto" w:fill="auto"/>
            <w:vAlign w:val="center"/>
            <w:hideMark/>
          </w:tcPr>
          <w:p w:rsidR="00AE2E42" w:rsidRPr="00AE2E42" w:rsidRDefault="00AE2E42" w:rsidP="00AE2E42">
            <w:pPr>
              <w:spacing w:line="240" w:lineRule="auto"/>
              <w:ind w:firstLine="0"/>
              <w:rPr>
                <w:color w:val="000000"/>
                <w:sz w:val="24"/>
              </w:rPr>
            </w:pPr>
            <w:r w:rsidRPr="00AE2E42">
              <w:rPr>
                <w:color w:val="000000"/>
                <w:sz w:val="24"/>
              </w:rPr>
              <w:t>Рентабельность собственных средств РСС = (1 – СНО) х ЭР + ЭФР, %</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12,94</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38,90</w:t>
            </w:r>
          </w:p>
        </w:tc>
        <w:tc>
          <w:tcPr>
            <w:tcW w:w="996"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43,12</w:t>
            </w:r>
          </w:p>
        </w:tc>
        <w:tc>
          <w:tcPr>
            <w:tcW w:w="11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67,78</w:t>
            </w:r>
          </w:p>
        </w:tc>
        <w:tc>
          <w:tcPr>
            <w:tcW w:w="1240"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107,82</w:t>
            </w:r>
          </w:p>
        </w:tc>
        <w:tc>
          <w:tcPr>
            <w:tcW w:w="1008" w:type="dxa"/>
            <w:tcBorders>
              <w:top w:val="nil"/>
              <w:left w:val="nil"/>
              <w:bottom w:val="single" w:sz="4" w:space="0" w:color="auto"/>
              <w:right w:val="single" w:sz="4" w:space="0" w:color="auto"/>
            </w:tcBorders>
            <w:shd w:val="clear" w:color="auto" w:fill="auto"/>
            <w:vAlign w:val="center"/>
            <w:hideMark/>
          </w:tcPr>
          <w:p w:rsidR="00AE2E42" w:rsidRPr="00AE2E42" w:rsidRDefault="00AE2E42" w:rsidP="00547FF3">
            <w:pPr>
              <w:spacing w:line="240" w:lineRule="auto"/>
              <w:ind w:firstLine="0"/>
              <w:jc w:val="center"/>
              <w:rPr>
                <w:color w:val="000000"/>
                <w:sz w:val="24"/>
              </w:rPr>
            </w:pPr>
            <w:r w:rsidRPr="00AE2E42">
              <w:rPr>
                <w:color w:val="000000"/>
                <w:sz w:val="24"/>
              </w:rPr>
              <w:t>134,90</w:t>
            </w:r>
          </w:p>
        </w:tc>
      </w:tr>
    </w:tbl>
    <w:p w:rsidR="00AE2E42" w:rsidRDefault="00AE2E42" w:rsidP="00AE2E42">
      <w:pPr>
        <w:shd w:val="clear" w:color="auto" w:fill="FFFFFF"/>
        <w:autoSpaceDE w:val="0"/>
        <w:ind w:firstLine="708"/>
        <w:rPr>
          <w:bCs/>
          <w:color w:val="000000"/>
          <w:sz w:val="24"/>
        </w:rPr>
      </w:pPr>
    </w:p>
    <w:p w:rsidR="000218F7" w:rsidRDefault="000218F7" w:rsidP="000218F7">
      <w:pPr>
        <w:shd w:val="clear" w:color="auto" w:fill="FFFFFF"/>
        <w:autoSpaceDE w:val="0"/>
        <w:ind w:firstLine="708"/>
        <w:rPr>
          <w:bCs/>
          <w:sz w:val="24"/>
        </w:rPr>
      </w:pPr>
    </w:p>
    <w:p w:rsidR="000218F7" w:rsidRPr="00307254" w:rsidRDefault="00AE2E42" w:rsidP="00AE2E42">
      <w:pPr>
        <w:shd w:val="clear" w:color="auto" w:fill="FFFFFF"/>
        <w:autoSpaceDE w:val="0"/>
        <w:ind w:firstLine="0"/>
        <w:jc w:val="center"/>
        <w:rPr>
          <w:b/>
          <w:bCs/>
          <w:sz w:val="24"/>
        </w:rPr>
      </w:pPr>
      <w:r>
        <w:rPr>
          <w:noProof/>
        </w:rPr>
        <w:drawing>
          <wp:inline distT="0" distB="0" distL="0" distR="0" wp14:anchorId="77395905" wp14:editId="5117ABB5">
            <wp:extent cx="5940425" cy="3299825"/>
            <wp:effectExtent l="0" t="0" r="22225" b="1524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0218F7" w:rsidRDefault="000218F7" w:rsidP="000218F7">
      <w:pPr>
        <w:shd w:val="clear" w:color="auto" w:fill="FFFFFF"/>
        <w:autoSpaceDE w:val="0"/>
        <w:ind w:firstLine="0"/>
        <w:jc w:val="center"/>
        <w:rPr>
          <w:bCs/>
        </w:rPr>
      </w:pPr>
      <w:r>
        <w:rPr>
          <w:bCs/>
        </w:rPr>
        <w:t>Рис. 5 – Динамика финансовых результатов</w:t>
      </w:r>
    </w:p>
    <w:p w:rsidR="000218F7" w:rsidRDefault="000218F7" w:rsidP="000218F7">
      <w:pPr>
        <w:shd w:val="clear" w:color="auto" w:fill="FFFFFF"/>
        <w:autoSpaceDE w:val="0"/>
        <w:ind w:firstLine="708"/>
        <w:rPr>
          <w:bCs/>
        </w:rPr>
      </w:pPr>
    </w:p>
    <w:p w:rsidR="000218F7" w:rsidRDefault="000218F7" w:rsidP="000218F7">
      <w:pPr>
        <w:shd w:val="clear" w:color="auto" w:fill="FFFFFF"/>
        <w:autoSpaceDE w:val="0"/>
        <w:ind w:firstLine="708"/>
        <w:rPr>
          <w:bCs/>
        </w:rPr>
      </w:pPr>
    </w:p>
    <w:p w:rsidR="000218F7" w:rsidRDefault="000218F7" w:rsidP="000218F7">
      <w:pPr>
        <w:shd w:val="clear" w:color="auto" w:fill="FFFFFF"/>
        <w:autoSpaceDE w:val="0"/>
        <w:ind w:firstLine="708"/>
        <w:rPr>
          <w:bCs/>
        </w:rPr>
      </w:pPr>
      <w:r>
        <w:rPr>
          <w:bCs/>
        </w:rPr>
        <w:t>Из табл. 5 видно, что показатели НРЭИ, ЭР и РСС, ЭФР прямо зависят от соотношения заемных и собственных средств: чем больше доля заемных средств, тем выше уровень показателей.</w:t>
      </w:r>
    </w:p>
    <w:p w:rsidR="000218F7" w:rsidRDefault="000218F7" w:rsidP="000218F7">
      <w:pPr>
        <w:shd w:val="clear" w:color="auto" w:fill="FFFFFF"/>
        <w:autoSpaceDE w:val="0"/>
        <w:ind w:firstLine="708"/>
        <w:rPr>
          <w:bCs/>
        </w:rPr>
      </w:pPr>
      <w:r>
        <w:rPr>
          <w:bCs/>
        </w:rPr>
        <w:t>Снижение эффекта финансового рычага при плече рычага в 1,3 вызвано повышением средней расчетной ставки процента с 20 до 30%. Самая низкая рентабельность собственных средств наблюдается при финансировании инвестиций исключи</w:t>
      </w:r>
      <w:r>
        <w:rPr>
          <w:bCs/>
        </w:rPr>
        <w:softHyphen/>
        <w:t>тельно за счет собственного капитала. В этом случае предприятие недополучает доходов из-за ограниченности своих возможностей: недостача капитала оборачивается недобором нетто-результата эксплуатации инвестиций.</w:t>
      </w:r>
    </w:p>
    <w:p w:rsidR="000218F7" w:rsidRDefault="000218F7" w:rsidP="000218F7">
      <w:pPr>
        <w:shd w:val="clear" w:color="auto" w:fill="FFFFFF"/>
        <w:autoSpaceDE w:val="0"/>
        <w:ind w:firstLine="708"/>
        <w:rPr>
          <w:bCs/>
        </w:rPr>
      </w:pPr>
      <w:r>
        <w:rPr>
          <w:bCs/>
        </w:rPr>
        <w:t>В случае соотношения заемных и собственных средств на уровне 1,5 рентабельность собственных средств максимальная. Возникает финансовый риск, но и появляется реальная перспектива повышения курса акций.</w:t>
      </w:r>
    </w:p>
    <w:p w:rsidR="000218F7" w:rsidRDefault="000218F7" w:rsidP="000218F7">
      <w:pPr>
        <w:shd w:val="clear" w:color="auto" w:fill="FFFFFF"/>
        <w:autoSpaceDE w:val="0"/>
        <w:ind w:firstLine="708"/>
        <w:rPr>
          <w:bCs/>
        </w:rPr>
      </w:pPr>
      <w:r>
        <w:rPr>
          <w:bCs/>
        </w:rPr>
        <w:t>Критерием формирования рациональной структуры средств предприятия служит пороговое (критическое) значение нетто-результата эксплуатации инвестиций, при котором одинаково выгодно использовать и собственные, и заемные средства. А это значит, что эффект финансового рычага принимает нулевое значение либо за счет отсутствия дифференциала, либо за счет нулевого рычага.</w:t>
      </w:r>
    </w:p>
    <w:p w:rsidR="000218F7" w:rsidRDefault="000218F7" w:rsidP="000218F7">
      <w:pPr>
        <w:shd w:val="clear" w:color="auto" w:fill="FFFFFF"/>
        <w:autoSpaceDE w:val="0"/>
        <w:ind w:firstLine="708"/>
      </w:pPr>
      <w:r>
        <w:rPr>
          <w:bCs/>
        </w:rPr>
        <w:t>Определим пороговое значение нетто-результата эксплуатации инвестиций из формулы</w:t>
      </w:r>
    </w:p>
    <w:p w:rsidR="000218F7" w:rsidRDefault="000218F7" w:rsidP="000218F7">
      <w:pPr>
        <w:shd w:val="clear" w:color="auto" w:fill="FFFFFF"/>
        <w:autoSpaceDE w:val="0"/>
      </w:pPr>
      <w:r w:rsidRPr="00041B4B">
        <w:rPr>
          <w:position w:val="-24"/>
        </w:rPr>
        <w:object w:dxaOrig="2980" w:dyaOrig="620">
          <v:shape id="_x0000_i1036" type="#_x0000_t75" style="width:148.5pt;height:31.5pt" o:ole="" filled="t">
            <v:fill color2="black"/>
            <v:imagedata r:id="rId38" o:title=""/>
          </v:shape>
          <o:OLEObject Type="Embed" ProgID="Equation.3" ShapeID="_x0000_i1036" DrawAspect="Content" ObjectID="_1588176132" r:id="rId39"/>
        </w:object>
      </w:r>
      <w:r>
        <w:rPr>
          <w:bCs/>
        </w:rPr>
        <w:t xml:space="preserve">                                                                                    (15)</w:t>
      </w:r>
    </w:p>
    <w:p w:rsidR="000218F7" w:rsidRDefault="000218F7" w:rsidP="000218F7">
      <w:pPr>
        <w:shd w:val="clear" w:color="auto" w:fill="FFFFFF"/>
        <w:autoSpaceDE w:val="0"/>
        <w:rPr>
          <w:bCs/>
        </w:rPr>
      </w:pPr>
      <w:r w:rsidRPr="00041B4B">
        <w:rPr>
          <w:position w:val="-24"/>
        </w:rPr>
        <w:object w:dxaOrig="5500" w:dyaOrig="620">
          <v:shape id="_x0000_i1037" type="#_x0000_t75" style="width:274.5pt;height:31.5pt" o:ole="" filled="t">
            <v:fill color2="black"/>
            <v:imagedata r:id="rId40" o:title=""/>
          </v:shape>
          <o:OLEObject Type="Embed" ProgID="Equation.3" ShapeID="_x0000_i1037" DrawAspect="Content" ObjectID="_1588176133" r:id="rId41"/>
        </w:object>
      </w:r>
      <w:r>
        <w:rPr>
          <w:bCs/>
        </w:rPr>
        <w:t>млн. руб.</w:t>
      </w:r>
    </w:p>
    <w:p w:rsidR="000218F7" w:rsidRDefault="000218F7" w:rsidP="000218F7">
      <w:pPr>
        <w:shd w:val="clear" w:color="auto" w:fill="FFFFFF"/>
        <w:autoSpaceDE w:val="0"/>
        <w:ind w:firstLine="708"/>
        <w:rPr>
          <w:bCs/>
        </w:rPr>
      </w:pPr>
      <w:r>
        <w:rPr>
          <w:bCs/>
        </w:rPr>
        <w:t xml:space="preserve">Итак, до достижения нетто-результата эксплуатации инвестиций суммы 360 млн. руб., выгоднее использовать только собственные средства; </w:t>
      </w:r>
      <w:r>
        <w:rPr>
          <w:bCs/>
        </w:rPr>
        <w:lastRenderedPageBreak/>
        <w:t>выше суммы 360 млн. руб. - привлекать долговое финансирование, учитывая при этом целый ряд важных и взаимозависимых факторов:</w:t>
      </w:r>
    </w:p>
    <w:p w:rsidR="000218F7" w:rsidRDefault="000218F7" w:rsidP="000218F7">
      <w:pPr>
        <w:numPr>
          <w:ilvl w:val="0"/>
          <w:numId w:val="2"/>
        </w:numPr>
        <w:shd w:val="clear" w:color="auto" w:fill="FFFFFF"/>
        <w:suppressAutoHyphens/>
        <w:autoSpaceDE w:val="0"/>
        <w:rPr>
          <w:bCs/>
        </w:rPr>
      </w:pPr>
      <w:r>
        <w:rPr>
          <w:bCs/>
        </w:rPr>
        <w:t>темпы роста выручки от реализации и их стабильность;</w:t>
      </w:r>
    </w:p>
    <w:p w:rsidR="000218F7" w:rsidRDefault="000218F7" w:rsidP="000218F7">
      <w:pPr>
        <w:numPr>
          <w:ilvl w:val="0"/>
          <w:numId w:val="2"/>
        </w:numPr>
        <w:shd w:val="clear" w:color="auto" w:fill="FFFFFF"/>
        <w:suppressAutoHyphens/>
        <w:autoSpaceDE w:val="0"/>
        <w:rPr>
          <w:bCs/>
        </w:rPr>
      </w:pPr>
      <w:r>
        <w:rPr>
          <w:bCs/>
        </w:rPr>
        <w:t>уровень и динамику экономической рентабельности активов;</w:t>
      </w:r>
    </w:p>
    <w:p w:rsidR="000218F7" w:rsidRDefault="000218F7" w:rsidP="000218F7">
      <w:pPr>
        <w:numPr>
          <w:ilvl w:val="0"/>
          <w:numId w:val="2"/>
        </w:numPr>
        <w:shd w:val="clear" w:color="auto" w:fill="FFFFFF"/>
        <w:suppressAutoHyphens/>
        <w:autoSpaceDE w:val="0"/>
        <w:rPr>
          <w:bCs/>
        </w:rPr>
      </w:pPr>
      <w:r>
        <w:rPr>
          <w:bCs/>
        </w:rPr>
        <w:t>отношение кредиторов к предприятию;</w:t>
      </w:r>
    </w:p>
    <w:p w:rsidR="000218F7" w:rsidRDefault="000218F7" w:rsidP="000218F7">
      <w:pPr>
        <w:numPr>
          <w:ilvl w:val="0"/>
          <w:numId w:val="2"/>
        </w:numPr>
        <w:shd w:val="clear" w:color="auto" w:fill="FFFFFF"/>
        <w:suppressAutoHyphens/>
        <w:autoSpaceDE w:val="0"/>
        <w:rPr>
          <w:bCs/>
        </w:rPr>
      </w:pPr>
      <w:r>
        <w:rPr>
          <w:bCs/>
        </w:rPr>
        <w:t xml:space="preserve">приемлемую степень риска; </w:t>
      </w:r>
    </w:p>
    <w:p w:rsidR="000218F7" w:rsidRDefault="000218F7" w:rsidP="000218F7">
      <w:pPr>
        <w:numPr>
          <w:ilvl w:val="0"/>
          <w:numId w:val="2"/>
        </w:numPr>
        <w:shd w:val="clear" w:color="auto" w:fill="FFFFFF"/>
        <w:suppressAutoHyphens/>
        <w:autoSpaceDE w:val="0"/>
        <w:rPr>
          <w:bCs/>
        </w:rPr>
      </w:pPr>
      <w:r>
        <w:rPr>
          <w:bCs/>
        </w:rPr>
        <w:t>финансовую гибкость предприятия и др.</w:t>
      </w:r>
    </w:p>
    <w:p w:rsidR="000218F7" w:rsidRDefault="000218F7" w:rsidP="000218F7">
      <w:pPr>
        <w:spacing w:line="240" w:lineRule="auto"/>
        <w:ind w:firstLine="0"/>
        <w:jc w:val="left"/>
        <w:rPr>
          <w:b/>
        </w:rPr>
      </w:pPr>
      <w:r>
        <w:br w:type="page"/>
      </w:r>
    </w:p>
    <w:p w:rsidR="0024008E" w:rsidRDefault="0024008E" w:rsidP="0024008E">
      <w:pPr>
        <w:pStyle w:val="1"/>
      </w:pPr>
      <w:bookmarkStart w:id="7" w:name="_Toc380480519"/>
      <w:bookmarkStart w:id="8" w:name="_Toc514353585"/>
      <w:r>
        <w:lastRenderedPageBreak/>
        <w:t>Заключение</w:t>
      </w:r>
      <w:bookmarkEnd w:id="7"/>
      <w:bookmarkEnd w:id="8"/>
    </w:p>
    <w:p w:rsidR="0024008E" w:rsidRDefault="0024008E" w:rsidP="0024008E"/>
    <w:p w:rsidR="0024008E" w:rsidRPr="00416F41" w:rsidRDefault="0024008E" w:rsidP="0024008E">
      <w:r w:rsidRPr="00416F41">
        <w:t>Операционный анализ является неотъемлемой частью управленческого учета и управленческого анализа, а результаты этого анализа могут составлять коммерческую тайну предприятия. Прежде всего, результаты операционного анализа необходимы руководству предприятия для принятия ими правильных управленческих решений. Это связано с тем, что в условиях рыночной экономики предприятия разных форм собственности сами определяют хозяйственную политику, сами формируют производственную программу, выбирают поставщиков и покупателей, сами назначают цены на производимую ими продукцию, распоряжаются своей продукцией. С помощью операционного анализа определяются резервы, обеспечивается объективная оценка состояния резервов производства и степени их использования. При этом очевидны реальный дефицит или убыток ресурсов, объективная потребность в их увеличении или прирост производства на имеющихся ресурсах. Но главное заключается не в том, чтобы оценить и указать на имеющиеся ошибки, а в том, что на базе операционного анализа разрабатываются пути мобилизации резервов, возможности их ресурсного и финансового обеспечения, т.е. способствовать повышению научной обоснованности принимаемых управленческих решений.</w:t>
      </w:r>
    </w:p>
    <w:p w:rsidR="0024008E" w:rsidRDefault="0024008E">
      <w:pPr>
        <w:spacing w:after="200" w:line="276" w:lineRule="auto"/>
        <w:ind w:firstLine="0"/>
        <w:jc w:val="left"/>
        <w:rPr>
          <w:b/>
        </w:rPr>
      </w:pPr>
      <w:r>
        <w:br w:type="page"/>
      </w:r>
    </w:p>
    <w:p w:rsidR="000218F7" w:rsidRDefault="000218F7" w:rsidP="000218F7">
      <w:pPr>
        <w:pStyle w:val="1"/>
      </w:pPr>
      <w:bookmarkStart w:id="9" w:name="_Toc514353586"/>
      <w:r>
        <w:lastRenderedPageBreak/>
        <w:t>Список использованной литературы</w:t>
      </w:r>
      <w:bookmarkEnd w:id="9"/>
    </w:p>
    <w:p w:rsidR="000218F7" w:rsidRPr="003217AD" w:rsidRDefault="000218F7" w:rsidP="000218F7"/>
    <w:p w:rsidR="000218F7" w:rsidRDefault="000218F7" w:rsidP="000218F7">
      <w:pPr>
        <w:numPr>
          <w:ilvl w:val="0"/>
          <w:numId w:val="6"/>
        </w:numPr>
        <w:shd w:val="clear" w:color="auto" w:fill="FFFFFF"/>
        <w:suppressAutoHyphens/>
        <w:autoSpaceDE w:val="0"/>
        <w:rPr>
          <w:bCs/>
        </w:rPr>
      </w:pPr>
      <w:r>
        <w:rPr>
          <w:bCs/>
        </w:rPr>
        <w:t>Арутюнов Ю.А. Финансовый менеджмент. Учебное пособие. – М.: Крокус, 2015</w:t>
      </w:r>
    </w:p>
    <w:p w:rsidR="000218F7" w:rsidRDefault="000218F7" w:rsidP="000218F7">
      <w:pPr>
        <w:numPr>
          <w:ilvl w:val="0"/>
          <w:numId w:val="6"/>
        </w:numPr>
        <w:shd w:val="clear" w:color="auto" w:fill="FFFFFF"/>
        <w:suppressAutoHyphens/>
        <w:autoSpaceDE w:val="0"/>
        <w:rPr>
          <w:bCs/>
        </w:rPr>
      </w:pPr>
      <w:r>
        <w:rPr>
          <w:bCs/>
        </w:rPr>
        <w:t>Ванхорн, Джеймс, С., Вахович, мл., Джон, м. Основы финансового менеджмента, 12-е издание: Пер. с англ. – М.: ООО «И.Д. Вильямс», 2018</w:t>
      </w:r>
    </w:p>
    <w:p w:rsidR="000218F7" w:rsidRDefault="000218F7" w:rsidP="000218F7">
      <w:pPr>
        <w:numPr>
          <w:ilvl w:val="0"/>
          <w:numId w:val="6"/>
        </w:numPr>
        <w:shd w:val="clear" w:color="auto" w:fill="FFFFFF"/>
        <w:suppressAutoHyphens/>
        <w:autoSpaceDE w:val="0"/>
        <w:rPr>
          <w:bCs/>
        </w:rPr>
      </w:pPr>
      <w:r>
        <w:rPr>
          <w:bCs/>
        </w:rPr>
        <w:t>Ковалев В.В. Финансовый менеджмент: теория и практика. – М.: Проспект, 2016</w:t>
      </w:r>
    </w:p>
    <w:p w:rsidR="000218F7" w:rsidRDefault="000218F7" w:rsidP="000218F7">
      <w:pPr>
        <w:numPr>
          <w:ilvl w:val="0"/>
          <w:numId w:val="6"/>
        </w:numPr>
        <w:shd w:val="clear" w:color="auto" w:fill="FFFFFF"/>
        <w:suppressAutoHyphens/>
        <w:autoSpaceDE w:val="0"/>
        <w:rPr>
          <w:bCs/>
        </w:rPr>
      </w:pPr>
      <w:r>
        <w:rPr>
          <w:bCs/>
        </w:rPr>
        <w:t>Финансовый менеджмент: теория и практика: Учебник / Под ред. Е.С. Стояновой. – 6-е изд. – М.: Изд-во «Перспектива», 2018</w:t>
      </w:r>
    </w:p>
    <w:p w:rsidR="000218F7" w:rsidRDefault="000218F7" w:rsidP="000218F7">
      <w:pPr>
        <w:numPr>
          <w:ilvl w:val="0"/>
          <w:numId w:val="6"/>
        </w:numPr>
        <w:shd w:val="clear" w:color="auto" w:fill="FFFFFF"/>
        <w:suppressAutoHyphens/>
        <w:autoSpaceDE w:val="0"/>
        <w:rPr>
          <w:bCs/>
        </w:rPr>
      </w:pPr>
      <w:r>
        <w:rPr>
          <w:bCs/>
        </w:rPr>
        <w:t>Финансовый менеджмент: учебник / коллектив авторов: под ред. проф. Е.И. Шохина. – 3-е изд. – М.: КНОРУС, 2011</w:t>
      </w:r>
    </w:p>
    <w:p w:rsidR="000218F7" w:rsidRDefault="000218F7" w:rsidP="000218F7">
      <w:pPr>
        <w:numPr>
          <w:ilvl w:val="0"/>
          <w:numId w:val="6"/>
        </w:numPr>
        <w:shd w:val="clear" w:color="auto" w:fill="FFFFFF"/>
        <w:suppressAutoHyphens/>
        <w:autoSpaceDE w:val="0"/>
        <w:rPr>
          <w:b/>
          <w:bCs/>
        </w:rPr>
      </w:pPr>
      <w:r>
        <w:rPr>
          <w:bCs/>
        </w:rPr>
        <w:t>Этрилл П. Финансовый менеджмент для неспециалистов. – 3-е изд. – Изд-во СПб.: Питер, 2016</w:t>
      </w:r>
    </w:p>
    <w:p w:rsidR="000218F7" w:rsidRDefault="000218F7" w:rsidP="000218F7"/>
    <w:p w:rsidR="001D794E" w:rsidRDefault="001D794E"/>
    <w:sectPr w:rsidR="001D794E" w:rsidSect="0069040D">
      <w:footerReference w:type="default" r:id="rId42"/>
      <w:pgSz w:w="11906" w:h="16838"/>
      <w:pgMar w:top="1134" w:right="850"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D84" w:rsidRDefault="00553D84">
      <w:pPr>
        <w:spacing w:line="240" w:lineRule="auto"/>
      </w:pPr>
      <w:r>
        <w:separator/>
      </w:r>
    </w:p>
  </w:endnote>
  <w:endnote w:type="continuationSeparator" w:id="0">
    <w:p w:rsidR="00553D84" w:rsidRDefault="00553D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820120"/>
      <w:docPartObj>
        <w:docPartGallery w:val="Page Numbers (Bottom of Page)"/>
        <w:docPartUnique/>
      </w:docPartObj>
    </w:sdtPr>
    <w:sdtEndPr/>
    <w:sdtContent>
      <w:p w:rsidR="001B7D23" w:rsidRDefault="001B7D23">
        <w:pPr>
          <w:pStyle w:val="a3"/>
          <w:jc w:val="center"/>
        </w:pPr>
        <w:r>
          <w:fldChar w:fldCharType="begin"/>
        </w:r>
        <w:r>
          <w:instrText>PAGE   \* MERGEFORMAT</w:instrText>
        </w:r>
        <w:r>
          <w:fldChar w:fldCharType="separate"/>
        </w:r>
        <w:r w:rsidR="00700599">
          <w:rPr>
            <w:noProof/>
          </w:rPr>
          <w:t>2</w:t>
        </w:r>
        <w:r>
          <w:fldChar w:fldCharType="end"/>
        </w:r>
      </w:p>
    </w:sdtContent>
  </w:sdt>
  <w:p w:rsidR="00C956D8" w:rsidRDefault="00C956D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D84" w:rsidRDefault="00553D84">
      <w:pPr>
        <w:spacing w:line="240" w:lineRule="auto"/>
      </w:pPr>
      <w:r>
        <w:separator/>
      </w:r>
    </w:p>
  </w:footnote>
  <w:footnote w:type="continuationSeparator" w:id="0">
    <w:p w:rsidR="00553D84" w:rsidRDefault="00553D8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singleLevel"/>
    <w:tmpl w:val="00000003"/>
    <w:name w:val="WW8Num3"/>
    <w:lvl w:ilvl="0">
      <w:start w:val="1"/>
      <w:numFmt w:val="bullet"/>
      <w:lvlText w:val=""/>
      <w:lvlJc w:val="left"/>
      <w:pPr>
        <w:tabs>
          <w:tab w:val="num" w:pos="901"/>
        </w:tabs>
        <w:ind w:left="901" w:hanging="360"/>
      </w:pPr>
      <w:rPr>
        <w:rFonts w:ascii="Symbol" w:hAnsi="Symbol" w:cs="Symbol"/>
      </w:rPr>
    </w:lvl>
  </w:abstractNum>
  <w:abstractNum w:abstractNumId="2">
    <w:nsid w:val="00000004"/>
    <w:multiLevelType w:val="singleLevel"/>
    <w:tmpl w:val="00000004"/>
    <w:name w:val="WW8Num4"/>
    <w:lvl w:ilvl="0">
      <w:start w:val="1"/>
      <w:numFmt w:val="decimal"/>
      <w:lvlText w:val="%1."/>
      <w:lvlJc w:val="left"/>
      <w:pPr>
        <w:tabs>
          <w:tab w:val="num" w:pos="720"/>
        </w:tabs>
        <w:ind w:left="720" w:hanging="360"/>
      </w:pPr>
    </w:lvl>
  </w:abstractNum>
  <w:abstractNum w:abstractNumId="3">
    <w:nsid w:val="00000006"/>
    <w:multiLevelType w:val="singleLevel"/>
    <w:tmpl w:val="00000006"/>
    <w:name w:val="WW8Num7"/>
    <w:lvl w:ilvl="0">
      <w:start w:val="1"/>
      <w:numFmt w:val="decimal"/>
      <w:lvlText w:val="%1."/>
      <w:lvlJc w:val="left"/>
      <w:pPr>
        <w:tabs>
          <w:tab w:val="num" w:pos="720"/>
        </w:tabs>
        <w:ind w:left="720" w:hanging="360"/>
      </w:pPr>
    </w:lvl>
  </w:abstractNum>
  <w:abstractNum w:abstractNumId="4">
    <w:nsid w:val="00000007"/>
    <w:multiLevelType w:val="singleLevel"/>
    <w:tmpl w:val="00000007"/>
    <w:name w:val="WW8Num8"/>
    <w:lvl w:ilvl="0">
      <w:start w:val="1"/>
      <w:numFmt w:val="decimal"/>
      <w:lvlText w:val="%1."/>
      <w:lvlJc w:val="left"/>
      <w:pPr>
        <w:tabs>
          <w:tab w:val="num" w:pos="720"/>
        </w:tabs>
        <w:ind w:left="720" w:hanging="360"/>
      </w:pPr>
    </w:lvl>
  </w:abstractNum>
  <w:abstractNum w:abstractNumId="5">
    <w:nsid w:val="00000009"/>
    <w:multiLevelType w:val="singleLevel"/>
    <w:tmpl w:val="00000009"/>
    <w:name w:val="WW8Num11"/>
    <w:lvl w:ilvl="0">
      <w:start w:val="1"/>
      <w:numFmt w:val="decimal"/>
      <w:lvlText w:val="%1."/>
      <w:lvlJc w:val="left"/>
      <w:pPr>
        <w:tabs>
          <w:tab w:val="num" w:pos="720"/>
        </w:tabs>
        <w:ind w:left="720" w:hanging="36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8F7"/>
    <w:rsid w:val="000218F7"/>
    <w:rsid w:val="000976A7"/>
    <w:rsid w:val="001B7D23"/>
    <w:rsid w:val="001D794E"/>
    <w:rsid w:val="0024008E"/>
    <w:rsid w:val="002521D1"/>
    <w:rsid w:val="00547FF3"/>
    <w:rsid w:val="00553D84"/>
    <w:rsid w:val="0069040D"/>
    <w:rsid w:val="006D6D6A"/>
    <w:rsid w:val="00700599"/>
    <w:rsid w:val="007A7798"/>
    <w:rsid w:val="009077E3"/>
    <w:rsid w:val="00AA61AF"/>
    <w:rsid w:val="00AE2E42"/>
    <w:rsid w:val="00B75187"/>
    <w:rsid w:val="00C95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8F7"/>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qFormat/>
    <w:rsid w:val="000218F7"/>
    <w:pPr>
      <w:keepNext/>
      <w:tabs>
        <w:tab w:val="left" w:pos="1418"/>
      </w:tabs>
      <w:ind w:firstLine="0"/>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18F7"/>
    <w:rPr>
      <w:rFonts w:ascii="Times New Roman" w:eastAsia="Times New Roman" w:hAnsi="Times New Roman" w:cs="Times New Roman"/>
      <w:b/>
      <w:sz w:val="28"/>
      <w:szCs w:val="24"/>
      <w:lang w:eastAsia="ru-RU"/>
    </w:rPr>
  </w:style>
  <w:style w:type="paragraph" w:styleId="a3">
    <w:name w:val="footer"/>
    <w:basedOn w:val="a"/>
    <w:link w:val="a4"/>
    <w:uiPriority w:val="99"/>
    <w:unhideWhenUsed/>
    <w:rsid w:val="000218F7"/>
    <w:pPr>
      <w:tabs>
        <w:tab w:val="center" w:pos="4677"/>
        <w:tab w:val="right" w:pos="9355"/>
      </w:tabs>
      <w:spacing w:line="240" w:lineRule="auto"/>
    </w:pPr>
  </w:style>
  <w:style w:type="character" w:customStyle="1" w:styleId="a4">
    <w:name w:val="Нижний колонтитул Знак"/>
    <w:basedOn w:val="a0"/>
    <w:link w:val="a3"/>
    <w:uiPriority w:val="99"/>
    <w:rsid w:val="000218F7"/>
    <w:rPr>
      <w:rFonts w:ascii="Times New Roman" w:eastAsia="Times New Roman" w:hAnsi="Times New Roman" w:cs="Times New Roman"/>
      <w:sz w:val="28"/>
      <w:szCs w:val="24"/>
      <w:lang w:eastAsia="ru-RU"/>
    </w:rPr>
  </w:style>
  <w:style w:type="paragraph" w:styleId="a5">
    <w:name w:val="Body Text Indent"/>
    <w:basedOn w:val="a"/>
    <w:link w:val="a6"/>
    <w:rsid w:val="000218F7"/>
    <w:pPr>
      <w:suppressAutoHyphens/>
      <w:spacing w:line="240" w:lineRule="auto"/>
      <w:ind w:firstLine="708"/>
    </w:pPr>
    <w:rPr>
      <w:szCs w:val="20"/>
      <w:lang w:eastAsia="ar-SA"/>
    </w:rPr>
  </w:style>
  <w:style w:type="character" w:customStyle="1" w:styleId="a6">
    <w:name w:val="Основной текст с отступом Знак"/>
    <w:basedOn w:val="a0"/>
    <w:link w:val="a5"/>
    <w:rsid w:val="000218F7"/>
    <w:rPr>
      <w:rFonts w:ascii="Times New Roman" w:eastAsia="Times New Roman" w:hAnsi="Times New Roman" w:cs="Times New Roman"/>
      <w:sz w:val="28"/>
      <w:szCs w:val="20"/>
      <w:lang w:eastAsia="ar-SA"/>
    </w:rPr>
  </w:style>
  <w:style w:type="paragraph" w:styleId="a7">
    <w:name w:val="TOC Heading"/>
    <w:basedOn w:val="1"/>
    <w:next w:val="a"/>
    <w:uiPriority w:val="39"/>
    <w:unhideWhenUsed/>
    <w:qFormat/>
    <w:rsid w:val="000218F7"/>
    <w:pPr>
      <w:keepLines/>
      <w:tabs>
        <w:tab w:val="clear" w:pos="1418"/>
      </w:tabs>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1">
    <w:name w:val="toc 1"/>
    <w:basedOn w:val="a"/>
    <w:next w:val="a"/>
    <w:autoRedefine/>
    <w:uiPriority w:val="39"/>
    <w:unhideWhenUsed/>
    <w:rsid w:val="000218F7"/>
    <w:pPr>
      <w:spacing w:after="100"/>
    </w:pPr>
  </w:style>
  <w:style w:type="character" w:styleId="a8">
    <w:name w:val="Hyperlink"/>
    <w:basedOn w:val="a0"/>
    <w:uiPriority w:val="99"/>
    <w:unhideWhenUsed/>
    <w:rsid w:val="000218F7"/>
    <w:rPr>
      <w:color w:val="0000FF" w:themeColor="hyperlink"/>
      <w:u w:val="single"/>
    </w:rPr>
  </w:style>
  <w:style w:type="paragraph" w:styleId="a9">
    <w:name w:val="Balloon Text"/>
    <w:basedOn w:val="a"/>
    <w:link w:val="aa"/>
    <w:uiPriority w:val="99"/>
    <w:semiHidden/>
    <w:unhideWhenUsed/>
    <w:rsid w:val="000218F7"/>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0218F7"/>
    <w:rPr>
      <w:rFonts w:ascii="Tahoma" w:eastAsia="Times New Roman" w:hAnsi="Tahoma" w:cs="Tahoma"/>
      <w:sz w:val="16"/>
      <w:szCs w:val="16"/>
      <w:lang w:eastAsia="ru-RU"/>
    </w:rPr>
  </w:style>
  <w:style w:type="paragraph" w:styleId="ab">
    <w:name w:val="header"/>
    <w:basedOn w:val="a"/>
    <w:link w:val="ac"/>
    <w:uiPriority w:val="99"/>
    <w:unhideWhenUsed/>
    <w:rsid w:val="00547FF3"/>
    <w:pPr>
      <w:tabs>
        <w:tab w:val="center" w:pos="4677"/>
        <w:tab w:val="right" w:pos="9355"/>
      </w:tabs>
      <w:spacing w:line="240" w:lineRule="auto"/>
    </w:pPr>
  </w:style>
  <w:style w:type="character" w:customStyle="1" w:styleId="ac">
    <w:name w:val="Верхний колонтитул Знак"/>
    <w:basedOn w:val="a0"/>
    <w:link w:val="ab"/>
    <w:uiPriority w:val="99"/>
    <w:rsid w:val="00547FF3"/>
    <w:rPr>
      <w:rFonts w:ascii="Times New Roman" w:eastAsia="Times New Roman" w:hAnsi="Times New Roman" w:cs="Times New Roman"/>
      <w:sz w:val="28"/>
      <w:szCs w:val="24"/>
      <w:lang w:eastAsia="ru-RU"/>
    </w:rPr>
  </w:style>
  <w:style w:type="paragraph" w:styleId="ad">
    <w:name w:val="Normal (Web)"/>
    <w:basedOn w:val="a"/>
    <w:unhideWhenUsed/>
    <w:rsid w:val="001B7D23"/>
    <w:pPr>
      <w:spacing w:before="100" w:beforeAutospacing="1" w:after="100" w:afterAutospacing="1" w:line="240" w:lineRule="auto"/>
      <w:ind w:firstLine="0"/>
      <w:jc w:val="left"/>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8F7"/>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qFormat/>
    <w:rsid w:val="000218F7"/>
    <w:pPr>
      <w:keepNext/>
      <w:tabs>
        <w:tab w:val="left" w:pos="1418"/>
      </w:tabs>
      <w:ind w:firstLine="0"/>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18F7"/>
    <w:rPr>
      <w:rFonts w:ascii="Times New Roman" w:eastAsia="Times New Roman" w:hAnsi="Times New Roman" w:cs="Times New Roman"/>
      <w:b/>
      <w:sz w:val="28"/>
      <w:szCs w:val="24"/>
      <w:lang w:eastAsia="ru-RU"/>
    </w:rPr>
  </w:style>
  <w:style w:type="paragraph" w:styleId="a3">
    <w:name w:val="footer"/>
    <w:basedOn w:val="a"/>
    <w:link w:val="a4"/>
    <w:uiPriority w:val="99"/>
    <w:unhideWhenUsed/>
    <w:rsid w:val="000218F7"/>
    <w:pPr>
      <w:tabs>
        <w:tab w:val="center" w:pos="4677"/>
        <w:tab w:val="right" w:pos="9355"/>
      </w:tabs>
      <w:spacing w:line="240" w:lineRule="auto"/>
    </w:pPr>
  </w:style>
  <w:style w:type="character" w:customStyle="1" w:styleId="a4">
    <w:name w:val="Нижний колонтитул Знак"/>
    <w:basedOn w:val="a0"/>
    <w:link w:val="a3"/>
    <w:uiPriority w:val="99"/>
    <w:rsid w:val="000218F7"/>
    <w:rPr>
      <w:rFonts w:ascii="Times New Roman" w:eastAsia="Times New Roman" w:hAnsi="Times New Roman" w:cs="Times New Roman"/>
      <w:sz w:val="28"/>
      <w:szCs w:val="24"/>
      <w:lang w:eastAsia="ru-RU"/>
    </w:rPr>
  </w:style>
  <w:style w:type="paragraph" w:styleId="a5">
    <w:name w:val="Body Text Indent"/>
    <w:basedOn w:val="a"/>
    <w:link w:val="a6"/>
    <w:rsid w:val="000218F7"/>
    <w:pPr>
      <w:suppressAutoHyphens/>
      <w:spacing w:line="240" w:lineRule="auto"/>
      <w:ind w:firstLine="708"/>
    </w:pPr>
    <w:rPr>
      <w:szCs w:val="20"/>
      <w:lang w:eastAsia="ar-SA"/>
    </w:rPr>
  </w:style>
  <w:style w:type="character" w:customStyle="1" w:styleId="a6">
    <w:name w:val="Основной текст с отступом Знак"/>
    <w:basedOn w:val="a0"/>
    <w:link w:val="a5"/>
    <w:rsid w:val="000218F7"/>
    <w:rPr>
      <w:rFonts w:ascii="Times New Roman" w:eastAsia="Times New Roman" w:hAnsi="Times New Roman" w:cs="Times New Roman"/>
      <w:sz w:val="28"/>
      <w:szCs w:val="20"/>
      <w:lang w:eastAsia="ar-SA"/>
    </w:rPr>
  </w:style>
  <w:style w:type="paragraph" w:styleId="a7">
    <w:name w:val="TOC Heading"/>
    <w:basedOn w:val="1"/>
    <w:next w:val="a"/>
    <w:uiPriority w:val="39"/>
    <w:unhideWhenUsed/>
    <w:qFormat/>
    <w:rsid w:val="000218F7"/>
    <w:pPr>
      <w:keepLines/>
      <w:tabs>
        <w:tab w:val="clear" w:pos="1418"/>
      </w:tabs>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1">
    <w:name w:val="toc 1"/>
    <w:basedOn w:val="a"/>
    <w:next w:val="a"/>
    <w:autoRedefine/>
    <w:uiPriority w:val="39"/>
    <w:unhideWhenUsed/>
    <w:rsid w:val="000218F7"/>
    <w:pPr>
      <w:spacing w:after="100"/>
    </w:pPr>
  </w:style>
  <w:style w:type="character" w:styleId="a8">
    <w:name w:val="Hyperlink"/>
    <w:basedOn w:val="a0"/>
    <w:uiPriority w:val="99"/>
    <w:unhideWhenUsed/>
    <w:rsid w:val="000218F7"/>
    <w:rPr>
      <w:color w:val="0000FF" w:themeColor="hyperlink"/>
      <w:u w:val="single"/>
    </w:rPr>
  </w:style>
  <w:style w:type="paragraph" w:styleId="a9">
    <w:name w:val="Balloon Text"/>
    <w:basedOn w:val="a"/>
    <w:link w:val="aa"/>
    <w:uiPriority w:val="99"/>
    <w:semiHidden/>
    <w:unhideWhenUsed/>
    <w:rsid w:val="000218F7"/>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0218F7"/>
    <w:rPr>
      <w:rFonts w:ascii="Tahoma" w:eastAsia="Times New Roman" w:hAnsi="Tahoma" w:cs="Tahoma"/>
      <w:sz w:val="16"/>
      <w:szCs w:val="16"/>
      <w:lang w:eastAsia="ru-RU"/>
    </w:rPr>
  </w:style>
  <w:style w:type="paragraph" w:styleId="ab">
    <w:name w:val="header"/>
    <w:basedOn w:val="a"/>
    <w:link w:val="ac"/>
    <w:uiPriority w:val="99"/>
    <w:unhideWhenUsed/>
    <w:rsid w:val="00547FF3"/>
    <w:pPr>
      <w:tabs>
        <w:tab w:val="center" w:pos="4677"/>
        <w:tab w:val="right" w:pos="9355"/>
      </w:tabs>
      <w:spacing w:line="240" w:lineRule="auto"/>
    </w:pPr>
  </w:style>
  <w:style w:type="character" w:customStyle="1" w:styleId="ac">
    <w:name w:val="Верхний колонтитул Знак"/>
    <w:basedOn w:val="a0"/>
    <w:link w:val="ab"/>
    <w:uiPriority w:val="99"/>
    <w:rsid w:val="00547FF3"/>
    <w:rPr>
      <w:rFonts w:ascii="Times New Roman" w:eastAsia="Times New Roman" w:hAnsi="Times New Roman" w:cs="Times New Roman"/>
      <w:sz w:val="28"/>
      <w:szCs w:val="24"/>
      <w:lang w:eastAsia="ru-RU"/>
    </w:rPr>
  </w:style>
  <w:style w:type="paragraph" w:styleId="ad">
    <w:name w:val="Normal (Web)"/>
    <w:basedOn w:val="a"/>
    <w:unhideWhenUsed/>
    <w:rsid w:val="001B7D23"/>
    <w:pPr>
      <w:spacing w:before="100" w:beforeAutospacing="1" w:after="100" w:afterAutospacing="1" w:line="240" w:lineRule="auto"/>
      <w:ind w:firstLine="0"/>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29164">
      <w:bodyDiv w:val="1"/>
      <w:marLeft w:val="0"/>
      <w:marRight w:val="0"/>
      <w:marTop w:val="0"/>
      <w:marBottom w:val="0"/>
      <w:divBdr>
        <w:top w:val="none" w:sz="0" w:space="0" w:color="auto"/>
        <w:left w:val="none" w:sz="0" w:space="0" w:color="auto"/>
        <w:bottom w:val="none" w:sz="0" w:space="0" w:color="auto"/>
        <w:right w:val="none" w:sz="0" w:space="0" w:color="auto"/>
      </w:divBdr>
    </w:div>
    <w:div w:id="707728806">
      <w:bodyDiv w:val="1"/>
      <w:marLeft w:val="0"/>
      <w:marRight w:val="0"/>
      <w:marTop w:val="0"/>
      <w:marBottom w:val="0"/>
      <w:divBdr>
        <w:top w:val="none" w:sz="0" w:space="0" w:color="auto"/>
        <w:left w:val="none" w:sz="0" w:space="0" w:color="auto"/>
        <w:bottom w:val="none" w:sz="0" w:space="0" w:color="auto"/>
        <w:right w:val="none" w:sz="0" w:space="0" w:color="auto"/>
      </w:divBdr>
    </w:div>
    <w:div w:id="872157261">
      <w:bodyDiv w:val="1"/>
      <w:marLeft w:val="0"/>
      <w:marRight w:val="0"/>
      <w:marTop w:val="0"/>
      <w:marBottom w:val="0"/>
      <w:divBdr>
        <w:top w:val="none" w:sz="0" w:space="0" w:color="auto"/>
        <w:left w:val="none" w:sz="0" w:space="0" w:color="auto"/>
        <w:bottom w:val="none" w:sz="0" w:space="0" w:color="auto"/>
        <w:right w:val="none" w:sz="0" w:space="0" w:color="auto"/>
      </w:divBdr>
    </w:div>
    <w:div w:id="1054162149">
      <w:bodyDiv w:val="1"/>
      <w:marLeft w:val="0"/>
      <w:marRight w:val="0"/>
      <w:marTop w:val="0"/>
      <w:marBottom w:val="0"/>
      <w:divBdr>
        <w:top w:val="none" w:sz="0" w:space="0" w:color="auto"/>
        <w:left w:val="none" w:sz="0" w:space="0" w:color="auto"/>
        <w:bottom w:val="none" w:sz="0" w:space="0" w:color="auto"/>
        <w:right w:val="none" w:sz="0" w:space="0" w:color="auto"/>
      </w:divBdr>
    </w:div>
    <w:div w:id="1127311724">
      <w:bodyDiv w:val="1"/>
      <w:marLeft w:val="0"/>
      <w:marRight w:val="0"/>
      <w:marTop w:val="0"/>
      <w:marBottom w:val="0"/>
      <w:divBdr>
        <w:top w:val="none" w:sz="0" w:space="0" w:color="auto"/>
        <w:left w:val="none" w:sz="0" w:space="0" w:color="auto"/>
        <w:bottom w:val="none" w:sz="0" w:space="0" w:color="auto"/>
        <w:right w:val="none" w:sz="0" w:space="0" w:color="auto"/>
      </w:divBdr>
    </w:div>
    <w:div w:id="1231186593">
      <w:bodyDiv w:val="1"/>
      <w:marLeft w:val="0"/>
      <w:marRight w:val="0"/>
      <w:marTop w:val="0"/>
      <w:marBottom w:val="0"/>
      <w:divBdr>
        <w:top w:val="none" w:sz="0" w:space="0" w:color="auto"/>
        <w:left w:val="none" w:sz="0" w:space="0" w:color="auto"/>
        <w:bottom w:val="none" w:sz="0" w:space="0" w:color="auto"/>
        <w:right w:val="none" w:sz="0" w:space="0" w:color="auto"/>
      </w:divBdr>
    </w:div>
    <w:div w:id="1248073372">
      <w:bodyDiv w:val="1"/>
      <w:marLeft w:val="0"/>
      <w:marRight w:val="0"/>
      <w:marTop w:val="0"/>
      <w:marBottom w:val="0"/>
      <w:divBdr>
        <w:top w:val="none" w:sz="0" w:space="0" w:color="auto"/>
        <w:left w:val="none" w:sz="0" w:space="0" w:color="auto"/>
        <w:bottom w:val="none" w:sz="0" w:space="0" w:color="auto"/>
        <w:right w:val="none" w:sz="0" w:space="0" w:color="auto"/>
      </w:divBdr>
    </w:div>
    <w:div w:id="1299334347">
      <w:bodyDiv w:val="1"/>
      <w:marLeft w:val="0"/>
      <w:marRight w:val="0"/>
      <w:marTop w:val="0"/>
      <w:marBottom w:val="0"/>
      <w:divBdr>
        <w:top w:val="none" w:sz="0" w:space="0" w:color="auto"/>
        <w:left w:val="none" w:sz="0" w:space="0" w:color="auto"/>
        <w:bottom w:val="none" w:sz="0" w:space="0" w:color="auto"/>
        <w:right w:val="none" w:sz="0" w:space="0" w:color="auto"/>
      </w:divBdr>
    </w:div>
    <w:div w:id="147544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chart" Target="charts/chart1.xml"/><Relationship Id="rId39" Type="http://schemas.openxmlformats.org/officeDocument/2006/relationships/oleObject" Target="embeddings/oleObject12.bin"/><Relationship Id="rId3" Type="http://schemas.microsoft.com/office/2007/relationships/stylesWithEffects" Target="stylesWithEffects.xml"/><Relationship Id="rId21" Type="http://schemas.openxmlformats.org/officeDocument/2006/relationships/oleObject" Target="embeddings/oleObject7.bin"/><Relationship Id="rId34" Type="http://schemas.openxmlformats.org/officeDocument/2006/relationships/chart" Target="charts/chart7.xm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chart" Target="charts/chart6.xml"/><Relationship Id="rId38" Type="http://schemas.openxmlformats.org/officeDocument/2006/relationships/image" Target="media/image12.wmf"/><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hart" Target="charts/chart4.xml"/><Relationship Id="rId41" Type="http://schemas.openxmlformats.org/officeDocument/2006/relationships/oleObject" Target="embeddings/oleObject13.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oleObject" Target="embeddings/oleObject10.bin"/><Relationship Id="rId37" Type="http://schemas.openxmlformats.org/officeDocument/2006/relationships/chart" Target="charts/chart8.xml"/><Relationship Id="rId40" Type="http://schemas.openxmlformats.org/officeDocument/2006/relationships/image" Target="media/image13.w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chart" Target="charts/chart3.xml"/><Relationship Id="rId36" Type="http://schemas.openxmlformats.org/officeDocument/2006/relationships/oleObject" Target="embeddings/oleObject11.bin"/><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0.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image" Target="media/image11.wmf"/><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1058;&#1072;&#1090;&#1072;\&#1085;&#1072;%20&#1079;&#1072;&#1082;&#1072;&#1079;\&#1075;&#1086;&#1090;&#1086;&#1074;&#1099;&#1077;%20&#1088;&#1072;&#1073;&#1086;&#1090;&#1099;\&#1060;&#1080;&#1085;&#1072;&#1085;&#1089;&#1086;&#1074;&#1099;&#1081;%20&#1084;&#1077;&#1085;\&#1055;&#1043;&#1059;%20&#1040;&#1083;&#1100;&#1092;&#1072;\17%20&#107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8;&#1072;&#1090;&#1072;\&#1085;&#1072;%20&#1079;&#1072;&#1082;&#1072;&#1079;\&#1075;&#1086;&#1090;&#1086;&#1074;&#1099;&#1077;%20&#1088;&#1072;&#1073;&#1086;&#1090;&#1099;\&#1060;&#1080;&#1085;&#1072;&#1085;&#1089;&#1086;&#1074;&#1099;&#1081;%20&#1084;&#1077;&#1085;\&#1055;&#1043;&#1059;%20&#1040;&#1083;&#1100;&#1092;&#1072;\17%20&#107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58;&#1072;&#1090;&#1072;\&#1085;&#1072;%20&#1079;&#1072;&#1082;&#1072;&#1079;\&#1075;&#1086;&#1090;&#1086;&#1074;&#1099;&#1077;%20&#1088;&#1072;&#1073;&#1086;&#1090;&#1099;\&#1060;&#1080;&#1085;&#1072;&#1085;&#1089;&#1086;&#1074;&#1099;&#1081;%20&#1084;&#1077;&#1085;\&#1055;&#1043;&#1059;%20&#1040;&#1083;&#1100;&#1092;&#1072;\17%20&#107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58;&#1072;&#1090;&#1072;\&#1085;&#1072;%20&#1079;&#1072;&#1082;&#1072;&#1079;\&#1075;&#1086;&#1090;&#1086;&#1074;&#1099;&#1077;%20&#1088;&#1072;&#1073;&#1086;&#1090;&#1099;\&#1060;&#1080;&#1085;&#1072;&#1085;&#1089;&#1086;&#1074;&#1099;&#1081;%20&#1084;&#1077;&#1085;\&#1055;&#1043;&#1059;%20&#1040;&#1083;&#1100;&#1092;&#1072;\17%20&#107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58;&#1072;&#1090;&#1072;\&#1085;&#1072;%20&#1079;&#1072;&#1082;&#1072;&#1079;\&#1075;&#1086;&#1090;&#1086;&#1074;&#1099;&#1077;%20&#1088;&#1072;&#1073;&#1086;&#1090;&#1099;\&#1060;&#1080;&#1085;&#1072;&#1085;&#1089;&#1086;&#1074;&#1099;&#1081;%20&#1084;&#1077;&#1085;\&#1055;&#1043;&#1059;%20&#1040;&#1083;&#1100;&#1092;&#1072;\17%20&#107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58;&#1072;&#1090;&#1072;\&#1085;&#1072;%20&#1079;&#1072;&#1082;&#1072;&#1079;\&#1075;&#1086;&#1090;&#1086;&#1074;&#1099;&#1077;%20&#1088;&#1072;&#1073;&#1086;&#1090;&#1099;\&#1060;&#1080;&#1085;&#1072;&#1085;&#1089;&#1086;&#1074;&#1099;&#1081;%20&#1084;&#1077;&#1085;\&#1055;&#1043;&#1059;%20&#1040;&#1083;&#1100;&#1092;&#1072;\17%20&#1074;.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1058;&#1072;&#1090;&#1072;\&#1085;&#1072;%20&#1079;&#1072;&#1082;&#1072;&#1079;\&#1075;&#1086;&#1090;&#1086;&#1074;&#1099;&#1077;%20&#1088;&#1072;&#1073;&#1086;&#1090;&#1099;\&#1060;&#1080;&#1085;&#1072;&#1085;&#1089;&#1086;&#1074;&#1099;&#1081;%20&#1084;&#1077;&#1085;\&#1055;&#1043;&#1059;%20&#1040;&#1083;&#1100;&#1092;&#1072;\17%20&#1074;.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58;&#1072;&#1090;&#1072;\&#1085;&#1072;%20&#1079;&#1072;&#1082;&#1072;&#1079;\&#1075;&#1086;&#1090;&#1086;&#1074;&#1099;&#1077;%20&#1088;&#1072;&#1073;&#1086;&#1090;&#1099;\&#1060;&#1080;&#1085;&#1072;&#1085;&#1089;&#1086;&#1074;&#1099;&#1081;%20&#1084;&#1077;&#1085;\&#1055;&#1043;&#1059;%20&#1040;&#1083;&#1100;&#1092;&#1072;\17%20&#107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'2'!$A$12</c:f>
              <c:strCache>
                <c:ptCount val="1"/>
                <c:pt idx="0">
                  <c:v>Валовая маржа</c:v>
                </c:pt>
              </c:strCache>
            </c:strRef>
          </c:tx>
          <c:invertIfNegative val="0"/>
          <c:cat>
            <c:strRef>
              <c:f>'2'!$B$11:$D$11</c:f>
              <c:strCache>
                <c:ptCount val="3"/>
                <c:pt idx="0">
                  <c:v>Изделие А</c:v>
                </c:pt>
                <c:pt idx="1">
                  <c:v>Изделие В</c:v>
                </c:pt>
                <c:pt idx="2">
                  <c:v>Изделие С</c:v>
                </c:pt>
              </c:strCache>
            </c:strRef>
          </c:cat>
          <c:val>
            <c:numRef>
              <c:f>'2'!$B$12:$D$12</c:f>
              <c:numCache>
                <c:formatCode>General</c:formatCode>
                <c:ptCount val="3"/>
                <c:pt idx="0">
                  <c:v>562.5</c:v>
                </c:pt>
                <c:pt idx="1">
                  <c:v>618.75</c:v>
                </c:pt>
                <c:pt idx="2">
                  <c:v>641.54999999999995</c:v>
                </c:pt>
              </c:numCache>
            </c:numRef>
          </c:val>
        </c:ser>
        <c:ser>
          <c:idx val="1"/>
          <c:order val="1"/>
          <c:tx>
            <c:strRef>
              <c:f>'2'!$A$13</c:f>
              <c:strCache>
                <c:ptCount val="1"/>
                <c:pt idx="0">
                  <c:v>Постоянные издержки</c:v>
                </c:pt>
              </c:strCache>
            </c:strRef>
          </c:tx>
          <c:invertIfNegative val="0"/>
          <c:cat>
            <c:strRef>
              <c:f>'2'!$B$11:$D$11</c:f>
              <c:strCache>
                <c:ptCount val="3"/>
                <c:pt idx="0">
                  <c:v>Изделие А</c:v>
                </c:pt>
                <c:pt idx="1">
                  <c:v>Изделие В</c:v>
                </c:pt>
                <c:pt idx="2">
                  <c:v>Изделие С</c:v>
                </c:pt>
              </c:strCache>
            </c:strRef>
          </c:cat>
          <c:val>
            <c:numRef>
              <c:f>'2'!$B$13:$D$13</c:f>
              <c:numCache>
                <c:formatCode>General</c:formatCode>
                <c:ptCount val="3"/>
                <c:pt idx="0">
                  <c:v>500</c:v>
                </c:pt>
                <c:pt idx="1">
                  <c:v>504</c:v>
                </c:pt>
                <c:pt idx="2">
                  <c:v>500</c:v>
                </c:pt>
              </c:numCache>
            </c:numRef>
          </c:val>
        </c:ser>
        <c:ser>
          <c:idx val="2"/>
          <c:order val="2"/>
          <c:tx>
            <c:strRef>
              <c:f>'2'!$A$14</c:f>
              <c:strCache>
                <c:ptCount val="1"/>
                <c:pt idx="0">
                  <c:v>Прибыль</c:v>
                </c:pt>
              </c:strCache>
            </c:strRef>
          </c:tx>
          <c:invertIfNegative val="0"/>
          <c:cat>
            <c:strRef>
              <c:f>'2'!$B$11:$D$11</c:f>
              <c:strCache>
                <c:ptCount val="3"/>
                <c:pt idx="0">
                  <c:v>Изделие А</c:v>
                </c:pt>
                <c:pt idx="1">
                  <c:v>Изделие В</c:v>
                </c:pt>
                <c:pt idx="2">
                  <c:v>Изделие С</c:v>
                </c:pt>
              </c:strCache>
            </c:strRef>
          </c:cat>
          <c:val>
            <c:numRef>
              <c:f>'2'!$B$14:$D$14</c:f>
              <c:numCache>
                <c:formatCode>General</c:formatCode>
                <c:ptCount val="3"/>
                <c:pt idx="0">
                  <c:v>50</c:v>
                </c:pt>
                <c:pt idx="1">
                  <c:v>91.8</c:v>
                </c:pt>
                <c:pt idx="2">
                  <c:v>113.23999999999997</c:v>
                </c:pt>
              </c:numCache>
            </c:numRef>
          </c:val>
        </c:ser>
        <c:dLbls>
          <c:showLegendKey val="0"/>
          <c:showVal val="0"/>
          <c:showCatName val="0"/>
          <c:showSerName val="0"/>
          <c:showPercent val="0"/>
          <c:showBubbleSize val="0"/>
        </c:dLbls>
        <c:gapWidth val="150"/>
        <c:shape val="box"/>
        <c:axId val="254239872"/>
        <c:axId val="254241408"/>
        <c:axId val="0"/>
      </c:bar3DChart>
      <c:catAx>
        <c:axId val="254239872"/>
        <c:scaling>
          <c:orientation val="minMax"/>
        </c:scaling>
        <c:delete val="0"/>
        <c:axPos val="b"/>
        <c:majorTickMark val="out"/>
        <c:minorTickMark val="none"/>
        <c:tickLblPos val="nextTo"/>
        <c:crossAx val="254241408"/>
        <c:crosses val="autoZero"/>
        <c:auto val="1"/>
        <c:lblAlgn val="ctr"/>
        <c:lblOffset val="100"/>
        <c:noMultiLvlLbl val="0"/>
      </c:catAx>
      <c:valAx>
        <c:axId val="254241408"/>
        <c:scaling>
          <c:orientation val="minMax"/>
        </c:scaling>
        <c:delete val="0"/>
        <c:axPos val="l"/>
        <c:majorGridlines/>
        <c:numFmt formatCode="General" sourceLinked="1"/>
        <c:majorTickMark val="out"/>
        <c:minorTickMark val="none"/>
        <c:tickLblPos val="nextTo"/>
        <c:crossAx val="25423987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stacked"/>
        <c:varyColors val="0"/>
        <c:ser>
          <c:idx val="0"/>
          <c:order val="0"/>
          <c:tx>
            <c:strRef>
              <c:f>'3'!$A$8</c:f>
              <c:strCache>
                <c:ptCount val="1"/>
                <c:pt idx="0">
                  <c:v>Порог рентабельности</c:v>
                </c:pt>
              </c:strCache>
            </c:strRef>
          </c:tx>
          <c:invertIfNegative val="0"/>
          <c:cat>
            <c:strRef>
              <c:f>'3'!$B$7:$D$7</c:f>
              <c:strCache>
                <c:ptCount val="3"/>
                <c:pt idx="0">
                  <c:v>Изделие А</c:v>
                </c:pt>
                <c:pt idx="1">
                  <c:v>Изделие В</c:v>
                </c:pt>
                <c:pt idx="2">
                  <c:v>Изделие С</c:v>
                </c:pt>
              </c:strCache>
            </c:strRef>
          </c:cat>
          <c:val>
            <c:numRef>
              <c:f>'3'!$B$8:$D$8</c:f>
              <c:numCache>
                <c:formatCode>0.0</c:formatCode>
                <c:ptCount val="3"/>
                <c:pt idx="0">
                  <c:v>1472</c:v>
                </c:pt>
                <c:pt idx="1">
                  <c:v>1368.4363636363635</c:v>
                </c:pt>
                <c:pt idx="2">
                  <c:v>1436.1702127659573</c:v>
                </c:pt>
              </c:numCache>
            </c:numRef>
          </c:val>
        </c:ser>
        <c:ser>
          <c:idx val="1"/>
          <c:order val="1"/>
          <c:tx>
            <c:strRef>
              <c:f>'3'!$A$9</c:f>
              <c:strCache>
                <c:ptCount val="1"/>
                <c:pt idx="0">
                  <c:v>Запас финасовой прочности</c:v>
                </c:pt>
              </c:strCache>
            </c:strRef>
          </c:tx>
          <c:invertIfNegative val="0"/>
          <c:cat>
            <c:strRef>
              <c:f>'3'!$B$7:$D$7</c:f>
              <c:strCache>
                <c:ptCount val="3"/>
                <c:pt idx="0">
                  <c:v>Изделие А</c:v>
                </c:pt>
                <c:pt idx="1">
                  <c:v>Изделие В</c:v>
                </c:pt>
                <c:pt idx="2">
                  <c:v>Изделие С</c:v>
                </c:pt>
              </c:strCache>
            </c:strRef>
          </c:cat>
          <c:val>
            <c:numRef>
              <c:f>'3'!$B$9:$D$9</c:f>
              <c:numCache>
                <c:formatCode>0.0</c:formatCode>
                <c:ptCount val="3"/>
                <c:pt idx="0">
                  <c:v>184</c:v>
                </c:pt>
                <c:pt idx="1">
                  <c:v>311.56363636363653</c:v>
                </c:pt>
                <c:pt idx="2">
                  <c:v>406.57978723404267</c:v>
                </c:pt>
              </c:numCache>
            </c:numRef>
          </c:val>
        </c:ser>
        <c:dLbls>
          <c:showLegendKey val="0"/>
          <c:showVal val="0"/>
          <c:showCatName val="0"/>
          <c:showSerName val="0"/>
          <c:showPercent val="0"/>
          <c:showBubbleSize val="0"/>
        </c:dLbls>
        <c:gapWidth val="150"/>
        <c:shape val="box"/>
        <c:axId val="254258176"/>
        <c:axId val="173089536"/>
        <c:axId val="0"/>
      </c:bar3DChart>
      <c:catAx>
        <c:axId val="254258176"/>
        <c:scaling>
          <c:orientation val="minMax"/>
        </c:scaling>
        <c:delete val="0"/>
        <c:axPos val="l"/>
        <c:majorTickMark val="out"/>
        <c:minorTickMark val="none"/>
        <c:tickLblPos val="nextTo"/>
        <c:crossAx val="173089536"/>
        <c:crosses val="autoZero"/>
        <c:auto val="1"/>
        <c:lblAlgn val="ctr"/>
        <c:lblOffset val="100"/>
        <c:noMultiLvlLbl val="0"/>
      </c:catAx>
      <c:valAx>
        <c:axId val="173089536"/>
        <c:scaling>
          <c:orientation val="minMax"/>
        </c:scaling>
        <c:delete val="0"/>
        <c:axPos val="b"/>
        <c:majorGridlines/>
        <c:numFmt formatCode="0.0" sourceLinked="1"/>
        <c:majorTickMark val="out"/>
        <c:minorTickMark val="none"/>
        <c:tickLblPos val="nextTo"/>
        <c:crossAx val="25425817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'4'!$A$17</c:f>
              <c:strCache>
                <c:ptCount val="1"/>
                <c:pt idx="0">
                  <c:v>Постоянные издержки</c:v>
                </c:pt>
              </c:strCache>
            </c:strRef>
          </c:tx>
          <c:xVal>
            <c:numRef>
              <c:f>'4'!$B$16:$D$16</c:f>
              <c:numCache>
                <c:formatCode>0</c:formatCode>
                <c:ptCount val="3"/>
                <c:pt idx="0" formatCode="General">
                  <c:v>0</c:v>
                </c:pt>
                <c:pt idx="1">
                  <c:v>299.23294793733322</c:v>
                </c:pt>
                <c:pt idx="2" formatCode="General">
                  <c:v>360</c:v>
                </c:pt>
              </c:numCache>
            </c:numRef>
          </c:xVal>
          <c:yVal>
            <c:numRef>
              <c:f>'4'!$B$17:$D$17</c:f>
              <c:numCache>
                <c:formatCode>General</c:formatCode>
                <c:ptCount val="3"/>
                <c:pt idx="0">
                  <c:v>1000</c:v>
                </c:pt>
                <c:pt idx="1">
                  <c:v>1000</c:v>
                </c:pt>
                <c:pt idx="2">
                  <c:v>1000</c:v>
                </c:pt>
              </c:numCache>
            </c:numRef>
          </c:yVal>
          <c:smooth val="1"/>
        </c:ser>
        <c:ser>
          <c:idx val="1"/>
          <c:order val="1"/>
          <c:tx>
            <c:strRef>
              <c:f>'4'!$A$18</c:f>
              <c:strCache>
                <c:ptCount val="1"/>
                <c:pt idx="0">
                  <c:v>Полные издержки</c:v>
                </c:pt>
              </c:strCache>
            </c:strRef>
          </c:tx>
          <c:xVal>
            <c:numRef>
              <c:f>'4'!$B$16:$D$16</c:f>
              <c:numCache>
                <c:formatCode>0</c:formatCode>
                <c:ptCount val="3"/>
                <c:pt idx="0" formatCode="General">
                  <c:v>0</c:v>
                </c:pt>
                <c:pt idx="1">
                  <c:v>299.23294793733322</c:v>
                </c:pt>
                <c:pt idx="2" formatCode="General">
                  <c:v>360</c:v>
                </c:pt>
              </c:numCache>
            </c:numRef>
          </c:xVal>
          <c:yVal>
            <c:numRef>
              <c:f>'4'!$B$18:$D$18</c:f>
              <c:numCache>
                <c:formatCode>0</c:formatCode>
                <c:ptCount val="3"/>
                <c:pt idx="0" formatCode="General">
                  <c:v>1000</c:v>
                </c:pt>
                <c:pt idx="1">
                  <c:v>2907.3606823105511</c:v>
                </c:pt>
                <c:pt idx="2" formatCode="General">
                  <c:v>3294.7</c:v>
                </c:pt>
              </c:numCache>
            </c:numRef>
          </c:yVal>
          <c:smooth val="1"/>
        </c:ser>
        <c:ser>
          <c:idx val="2"/>
          <c:order val="2"/>
          <c:tx>
            <c:strRef>
              <c:f>'4'!$A$19</c:f>
              <c:strCache>
                <c:ptCount val="1"/>
                <c:pt idx="0">
                  <c:v>Выручка от реализации</c:v>
                </c:pt>
              </c:strCache>
            </c:strRef>
          </c:tx>
          <c:xVal>
            <c:numRef>
              <c:f>'4'!$B$16:$D$16</c:f>
              <c:numCache>
                <c:formatCode>0</c:formatCode>
                <c:ptCount val="3"/>
                <c:pt idx="0" formatCode="General">
                  <c:v>0</c:v>
                </c:pt>
                <c:pt idx="1">
                  <c:v>299.23294793733322</c:v>
                </c:pt>
                <c:pt idx="2" formatCode="General">
                  <c:v>360</c:v>
                </c:pt>
              </c:numCache>
            </c:numRef>
          </c:xVal>
          <c:yVal>
            <c:numRef>
              <c:f>'4'!$B$19:$D$19</c:f>
              <c:numCache>
                <c:formatCode>0</c:formatCode>
                <c:ptCount val="3"/>
                <c:pt idx="0" formatCode="General">
                  <c:v>0</c:v>
                </c:pt>
                <c:pt idx="1">
                  <c:v>3739.3728459252161</c:v>
                </c:pt>
                <c:pt idx="2" formatCode="General">
                  <c:v>4498.75</c:v>
                </c:pt>
              </c:numCache>
            </c:numRef>
          </c:yVal>
          <c:smooth val="1"/>
        </c:ser>
        <c:dLbls>
          <c:showLegendKey val="0"/>
          <c:showVal val="0"/>
          <c:showCatName val="0"/>
          <c:showSerName val="0"/>
          <c:showPercent val="0"/>
          <c:showBubbleSize val="0"/>
        </c:dLbls>
        <c:axId val="165705600"/>
        <c:axId val="165707136"/>
      </c:scatterChart>
      <c:valAx>
        <c:axId val="165705600"/>
        <c:scaling>
          <c:orientation val="minMax"/>
        </c:scaling>
        <c:delete val="0"/>
        <c:axPos val="b"/>
        <c:numFmt formatCode="General" sourceLinked="1"/>
        <c:majorTickMark val="out"/>
        <c:minorTickMark val="none"/>
        <c:tickLblPos val="nextTo"/>
        <c:crossAx val="165707136"/>
        <c:crosses val="autoZero"/>
        <c:crossBetween val="midCat"/>
      </c:valAx>
      <c:valAx>
        <c:axId val="165707136"/>
        <c:scaling>
          <c:orientation val="minMax"/>
        </c:scaling>
        <c:delete val="0"/>
        <c:axPos val="l"/>
        <c:majorGridlines/>
        <c:numFmt formatCode="General" sourceLinked="1"/>
        <c:majorTickMark val="out"/>
        <c:minorTickMark val="none"/>
        <c:tickLblPos val="nextTo"/>
        <c:crossAx val="165705600"/>
        <c:crosses val="autoZero"/>
        <c:crossBetween val="midCat"/>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explosion val="25"/>
          <c:dLbls>
            <c:showLegendKey val="0"/>
            <c:showVal val="0"/>
            <c:showCatName val="0"/>
            <c:showSerName val="0"/>
            <c:showPercent val="1"/>
            <c:showBubbleSize val="0"/>
            <c:showLeaderLines val="1"/>
          </c:dLbls>
          <c:cat>
            <c:strRef>
              <c:f>'11,12,13'!$A$3:$A$5</c:f>
              <c:strCache>
                <c:ptCount val="3"/>
                <c:pt idx="0">
                  <c:v>Собственные средства СС, млн. руб.</c:v>
                </c:pt>
                <c:pt idx="1">
                  <c:v>Заемные средства ЗС, млн. руб.</c:v>
                </c:pt>
                <c:pt idx="2">
                  <c:v>Кредиторская задолженность КЗ, млн. руб.</c:v>
                </c:pt>
              </c:strCache>
            </c:strRef>
          </c:cat>
          <c:val>
            <c:numRef>
              <c:f>'11,12,13'!$D$3:$D$5</c:f>
              <c:numCache>
                <c:formatCode>General</c:formatCode>
                <c:ptCount val="3"/>
                <c:pt idx="0">
                  <c:v>750</c:v>
                </c:pt>
                <c:pt idx="1">
                  <c:v>980</c:v>
                </c:pt>
                <c:pt idx="2">
                  <c:v>220</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explosion val="25"/>
          <c:dLbls>
            <c:showLegendKey val="0"/>
            <c:showVal val="0"/>
            <c:showCatName val="0"/>
            <c:showSerName val="0"/>
            <c:showPercent val="1"/>
            <c:showBubbleSize val="0"/>
            <c:showLeaderLines val="1"/>
          </c:dLbls>
          <c:cat>
            <c:strRef>
              <c:f>'11,12,13'!$A$3:$A$5</c:f>
              <c:strCache>
                <c:ptCount val="3"/>
                <c:pt idx="0">
                  <c:v>Собственные средства СС, млн. руб.</c:v>
                </c:pt>
                <c:pt idx="1">
                  <c:v>Заемные средства ЗС, млн. руб.</c:v>
                </c:pt>
                <c:pt idx="2">
                  <c:v>Кредиторская задолженность КЗ, млн. руб.</c:v>
                </c:pt>
              </c:strCache>
            </c:strRef>
          </c:cat>
          <c:val>
            <c:numRef>
              <c:f>'11,12,13'!$C$3:$C$5</c:f>
              <c:numCache>
                <c:formatCode>General</c:formatCode>
                <c:ptCount val="3"/>
                <c:pt idx="0">
                  <c:v>954.05</c:v>
                </c:pt>
                <c:pt idx="1">
                  <c:v>680</c:v>
                </c:pt>
                <c:pt idx="2">
                  <c:v>220</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'11,12,13'!$B$28</c:f>
              <c:strCache>
                <c:ptCount val="1"/>
                <c:pt idx="0">
                  <c:v>без учета кредиторской задолженности</c:v>
                </c:pt>
              </c:strCache>
            </c:strRef>
          </c:tx>
          <c:invertIfNegative val="0"/>
          <c:cat>
            <c:strRef>
              <c:f>'11,12,13'!$A$29:$A$31</c:f>
              <c:strCache>
                <c:ptCount val="3"/>
                <c:pt idx="0">
                  <c:v>Сила воздействия финансового рычага</c:v>
                </c:pt>
                <c:pt idx="1">
                  <c:v>Плечо финансового рычага</c:v>
                </c:pt>
                <c:pt idx="2">
                  <c:v>Уровень сопряженного эффекта</c:v>
                </c:pt>
              </c:strCache>
            </c:strRef>
          </c:cat>
          <c:val>
            <c:numRef>
              <c:f>'11,12,13'!$B$29:$B$31</c:f>
              <c:numCache>
                <c:formatCode>0.00</c:formatCode>
                <c:ptCount val="3"/>
                <c:pt idx="0">
                  <c:v>1.4079999999999999</c:v>
                </c:pt>
                <c:pt idx="1">
                  <c:v>0.71275090404066876</c:v>
                </c:pt>
                <c:pt idx="2">
                  <c:v>12.671999999999999</c:v>
                </c:pt>
              </c:numCache>
            </c:numRef>
          </c:val>
        </c:ser>
        <c:ser>
          <c:idx val="1"/>
          <c:order val="1"/>
          <c:tx>
            <c:strRef>
              <c:f>'11,12,13'!$C$28</c:f>
              <c:strCache>
                <c:ptCount val="1"/>
                <c:pt idx="0">
                  <c:v>с учетом кредиторской задолженности</c:v>
                </c:pt>
              </c:strCache>
            </c:strRef>
          </c:tx>
          <c:invertIfNegative val="0"/>
          <c:cat>
            <c:strRef>
              <c:f>'11,12,13'!$A$29:$A$31</c:f>
              <c:strCache>
                <c:ptCount val="3"/>
                <c:pt idx="0">
                  <c:v>Сила воздействия финансового рычага</c:v>
                </c:pt>
                <c:pt idx="1">
                  <c:v>Плечо финансового рычага</c:v>
                </c:pt>
                <c:pt idx="2">
                  <c:v>Уровень сопряженного эффекта</c:v>
                </c:pt>
              </c:strCache>
            </c:strRef>
          </c:cat>
          <c:val>
            <c:numRef>
              <c:f>'11,12,13'!$C$29:$C$31</c:f>
              <c:numCache>
                <c:formatCode>0.00</c:formatCode>
                <c:ptCount val="3"/>
                <c:pt idx="0">
                  <c:v>1.54</c:v>
                </c:pt>
                <c:pt idx="1">
                  <c:v>0.94334678475970868</c:v>
                </c:pt>
                <c:pt idx="2">
                  <c:v>13.86</c:v>
                </c:pt>
              </c:numCache>
            </c:numRef>
          </c:val>
        </c:ser>
        <c:dLbls>
          <c:showLegendKey val="0"/>
          <c:showVal val="0"/>
          <c:showCatName val="0"/>
          <c:showSerName val="0"/>
          <c:showPercent val="0"/>
          <c:showBubbleSize val="0"/>
        </c:dLbls>
        <c:gapWidth val="75"/>
        <c:overlap val="-25"/>
        <c:axId val="173314816"/>
        <c:axId val="173316352"/>
      </c:barChart>
      <c:catAx>
        <c:axId val="173314816"/>
        <c:scaling>
          <c:orientation val="minMax"/>
        </c:scaling>
        <c:delete val="0"/>
        <c:axPos val="b"/>
        <c:majorTickMark val="none"/>
        <c:minorTickMark val="none"/>
        <c:tickLblPos val="nextTo"/>
        <c:crossAx val="173316352"/>
        <c:crosses val="autoZero"/>
        <c:auto val="1"/>
        <c:lblAlgn val="ctr"/>
        <c:lblOffset val="100"/>
        <c:noMultiLvlLbl val="0"/>
      </c:catAx>
      <c:valAx>
        <c:axId val="173316352"/>
        <c:scaling>
          <c:orientation val="minMax"/>
        </c:scaling>
        <c:delete val="0"/>
        <c:axPos val="l"/>
        <c:majorGridlines/>
        <c:numFmt formatCode="0.00" sourceLinked="1"/>
        <c:majorTickMark val="none"/>
        <c:minorTickMark val="none"/>
        <c:tickLblPos val="nextTo"/>
        <c:spPr>
          <a:ln w="9525">
            <a:noFill/>
          </a:ln>
        </c:spPr>
        <c:crossAx val="173314816"/>
        <c:crosses val="autoZero"/>
        <c:crossBetween val="between"/>
      </c:valAx>
    </c:plotArea>
    <c:legend>
      <c:legendPos val="b"/>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'11,12,13'!$B$33</c:f>
              <c:strCache>
                <c:ptCount val="1"/>
                <c:pt idx="0">
                  <c:v>без учета кредиторской задолженности</c:v>
                </c:pt>
              </c:strCache>
            </c:strRef>
          </c:tx>
          <c:invertIfNegative val="0"/>
          <c:cat>
            <c:strRef>
              <c:f>'11,12,13'!$A$34:$A$36</c:f>
              <c:strCache>
                <c:ptCount val="3"/>
                <c:pt idx="0">
                  <c:v>Экономическая рентабельность</c:v>
                </c:pt>
                <c:pt idx="1">
                  <c:v>Эффект финансового рычага</c:v>
                </c:pt>
                <c:pt idx="2">
                  <c:v>Рентабельность собственных средств</c:v>
                </c:pt>
              </c:strCache>
            </c:strRef>
          </c:cat>
          <c:val>
            <c:numRef>
              <c:f>'11,12,13'!$B$34:$B$36</c:f>
              <c:numCache>
                <c:formatCode>0.00</c:formatCode>
                <c:ptCount val="3"/>
                <c:pt idx="0" formatCode="0.0">
                  <c:v>32.069364161849705</c:v>
                </c:pt>
                <c:pt idx="1">
                  <c:v>6.3445086705202263</c:v>
                </c:pt>
                <c:pt idx="2">
                  <c:v>31.999999999999993</c:v>
                </c:pt>
              </c:numCache>
            </c:numRef>
          </c:val>
        </c:ser>
        <c:ser>
          <c:idx val="1"/>
          <c:order val="1"/>
          <c:tx>
            <c:strRef>
              <c:f>'11,12,13'!$C$33</c:f>
              <c:strCache>
                <c:ptCount val="1"/>
                <c:pt idx="0">
                  <c:v>с учетом кредиторской задолженности</c:v>
                </c:pt>
              </c:strCache>
            </c:strRef>
          </c:tx>
          <c:invertIfNegative val="0"/>
          <c:cat>
            <c:strRef>
              <c:f>'11,12,13'!$A$34:$A$36</c:f>
              <c:strCache>
                <c:ptCount val="3"/>
                <c:pt idx="0">
                  <c:v>Экономическая рентабельность</c:v>
                </c:pt>
                <c:pt idx="1">
                  <c:v>Эффект финансового рычага</c:v>
                </c:pt>
                <c:pt idx="2">
                  <c:v>Рентабельность собственных средств</c:v>
                </c:pt>
              </c:strCache>
            </c:strRef>
          </c:cat>
          <c:val>
            <c:numRef>
              <c:f>'11,12,13'!$C$34:$C$36</c:f>
              <c:numCache>
                <c:formatCode>0.00</c:formatCode>
                <c:ptCount val="3"/>
                <c:pt idx="0">
                  <c:v>31.384615384615383</c:v>
                </c:pt>
                <c:pt idx="1">
                  <c:v>6.8923076923076909</c:v>
                </c:pt>
                <c:pt idx="2">
                  <c:v>32</c:v>
                </c:pt>
              </c:numCache>
            </c:numRef>
          </c:val>
        </c:ser>
        <c:dLbls>
          <c:showLegendKey val="0"/>
          <c:showVal val="0"/>
          <c:showCatName val="0"/>
          <c:showSerName val="0"/>
          <c:showPercent val="0"/>
          <c:showBubbleSize val="0"/>
        </c:dLbls>
        <c:gapWidth val="75"/>
        <c:overlap val="-25"/>
        <c:axId val="173337216"/>
        <c:axId val="173539712"/>
      </c:barChart>
      <c:catAx>
        <c:axId val="173337216"/>
        <c:scaling>
          <c:orientation val="minMax"/>
        </c:scaling>
        <c:delete val="0"/>
        <c:axPos val="b"/>
        <c:majorTickMark val="none"/>
        <c:minorTickMark val="none"/>
        <c:tickLblPos val="nextTo"/>
        <c:crossAx val="173539712"/>
        <c:crosses val="autoZero"/>
        <c:auto val="1"/>
        <c:lblAlgn val="ctr"/>
        <c:lblOffset val="100"/>
        <c:noMultiLvlLbl val="0"/>
      </c:catAx>
      <c:valAx>
        <c:axId val="173539712"/>
        <c:scaling>
          <c:orientation val="minMax"/>
        </c:scaling>
        <c:delete val="0"/>
        <c:axPos val="l"/>
        <c:majorGridlines/>
        <c:numFmt formatCode="0.0" sourceLinked="1"/>
        <c:majorTickMark val="none"/>
        <c:minorTickMark val="none"/>
        <c:tickLblPos val="nextTo"/>
        <c:spPr>
          <a:ln w="9525">
            <a:noFill/>
          </a:ln>
        </c:spPr>
        <c:crossAx val="173337216"/>
        <c:crosses val="autoZero"/>
        <c:crossBetween val="between"/>
      </c:valAx>
    </c:plotArea>
    <c:legend>
      <c:legendPos val="b"/>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'14'!$A$5</c:f>
              <c:strCache>
                <c:ptCount val="1"/>
                <c:pt idx="0">
                  <c:v>Заемные средства ЗС, млн. руб.</c:v>
                </c:pt>
              </c:strCache>
            </c:strRef>
          </c:tx>
          <c:cat>
            <c:numRef>
              <c:f>'14'!$B$2:$G$2</c:f>
              <c:numCache>
                <c:formatCode>General</c:formatCode>
                <c:ptCount val="6"/>
                <c:pt idx="0">
                  <c:v>0</c:v>
                </c:pt>
                <c:pt idx="1">
                  <c:v>0.6</c:v>
                </c:pt>
                <c:pt idx="2">
                  <c:v>0.67</c:v>
                </c:pt>
                <c:pt idx="3">
                  <c:v>1</c:v>
                </c:pt>
                <c:pt idx="4">
                  <c:v>1.3</c:v>
                </c:pt>
                <c:pt idx="5">
                  <c:v>1.5</c:v>
                </c:pt>
              </c:numCache>
            </c:numRef>
          </c:cat>
          <c:val>
            <c:numRef>
              <c:f>'14'!$B$5:$G$5</c:f>
              <c:numCache>
                <c:formatCode>General</c:formatCode>
                <c:ptCount val="6"/>
                <c:pt idx="0">
                  <c:v>0</c:v>
                </c:pt>
                <c:pt idx="1">
                  <c:v>695.26874999999995</c:v>
                </c:pt>
                <c:pt idx="2">
                  <c:v>741.62</c:v>
                </c:pt>
                <c:pt idx="3">
                  <c:v>927.02499999999998</c:v>
                </c:pt>
                <c:pt idx="4">
                  <c:v>1042.903125</c:v>
                </c:pt>
                <c:pt idx="5">
                  <c:v>1112.4299999999998</c:v>
                </c:pt>
              </c:numCache>
            </c:numRef>
          </c:val>
          <c:smooth val="0"/>
        </c:ser>
        <c:ser>
          <c:idx val="1"/>
          <c:order val="1"/>
          <c:tx>
            <c:strRef>
              <c:f>'14'!$A$6</c:f>
              <c:strCache>
                <c:ptCount val="1"/>
                <c:pt idx="0">
                  <c:v>Собственные средства СС, млн. руб.</c:v>
                </c:pt>
              </c:strCache>
            </c:strRef>
          </c:tx>
          <c:cat>
            <c:numRef>
              <c:f>'14'!$B$2:$G$2</c:f>
              <c:numCache>
                <c:formatCode>General</c:formatCode>
                <c:ptCount val="6"/>
                <c:pt idx="0">
                  <c:v>0</c:v>
                </c:pt>
                <c:pt idx="1">
                  <c:v>0.6</c:v>
                </c:pt>
                <c:pt idx="2">
                  <c:v>0.67</c:v>
                </c:pt>
                <c:pt idx="3">
                  <c:v>1</c:v>
                </c:pt>
                <c:pt idx="4">
                  <c:v>1.3</c:v>
                </c:pt>
                <c:pt idx="5">
                  <c:v>1.5</c:v>
                </c:pt>
              </c:numCache>
            </c:numRef>
          </c:cat>
          <c:val>
            <c:numRef>
              <c:f>'14'!$B$6:$G$6</c:f>
              <c:numCache>
                <c:formatCode>General</c:formatCode>
                <c:ptCount val="6"/>
                <c:pt idx="0">
                  <c:v>1854.05</c:v>
                </c:pt>
                <c:pt idx="1">
                  <c:v>1158.78125</c:v>
                </c:pt>
                <c:pt idx="2">
                  <c:v>1112.4299999999998</c:v>
                </c:pt>
                <c:pt idx="3">
                  <c:v>927.02499999999998</c:v>
                </c:pt>
                <c:pt idx="4">
                  <c:v>811.14687499999991</c:v>
                </c:pt>
                <c:pt idx="5">
                  <c:v>741.62000000000012</c:v>
                </c:pt>
              </c:numCache>
            </c:numRef>
          </c:val>
          <c:smooth val="0"/>
        </c:ser>
        <c:ser>
          <c:idx val="3"/>
          <c:order val="2"/>
          <c:tx>
            <c:strRef>
              <c:f>'14'!$A$8</c:f>
              <c:strCache>
                <c:ptCount val="1"/>
                <c:pt idx="0">
                  <c:v>Прибыль до налогообложения БП, млн. руб.</c:v>
                </c:pt>
              </c:strCache>
            </c:strRef>
          </c:tx>
          <c:cat>
            <c:numRef>
              <c:f>'14'!$B$2:$G$2</c:f>
              <c:numCache>
                <c:formatCode>General</c:formatCode>
                <c:ptCount val="6"/>
                <c:pt idx="0">
                  <c:v>0</c:v>
                </c:pt>
                <c:pt idx="1">
                  <c:v>0.6</c:v>
                </c:pt>
                <c:pt idx="2">
                  <c:v>0.67</c:v>
                </c:pt>
                <c:pt idx="3">
                  <c:v>1</c:v>
                </c:pt>
                <c:pt idx="4">
                  <c:v>1.3</c:v>
                </c:pt>
                <c:pt idx="5">
                  <c:v>1.5</c:v>
                </c:pt>
              </c:numCache>
            </c:numRef>
          </c:cat>
          <c:val>
            <c:numRef>
              <c:f>'14'!$B$8:$G$8</c:f>
              <c:numCache>
                <c:formatCode>General</c:formatCode>
                <c:ptCount val="6"/>
                <c:pt idx="0">
                  <c:v>300</c:v>
                </c:pt>
                <c:pt idx="1">
                  <c:v>300</c:v>
                </c:pt>
                <c:pt idx="2">
                  <c:v>300</c:v>
                </c:pt>
                <c:pt idx="3">
                  <c:v>300</c:v>
                </c:pt>
                <c:pt idx="4">
                  <c:v>300</c:v>
                </c:pt>
                <c:pt idx="5">
                  <c:v>300</c:v>
                </c:pt>
              </c:numCache>
            </c:numRef>
          </c:val>
          <c:smooth val="0"/>
        </c:ser>
        <c:ser>
          <c:idx val="4"/>
          <c:order val="3"/>
          <c:tx>
            <c:strRef>
              <c:f>'14'!$A$9</c:f>
              <c:strCache>
                <c:ptCount val="1"/>
                <c:pt idx="0">
                  <c:v>Нетто-результат  НРЭИ = БП + СРСП х ЗС, млн. руб.</c:v>
                </c:pt>
              </c:strCache>
            </c:strRef>
          </c:tx>
          <c:cat>
            <c:numRef>
              <c:f>'14'!$B$2:$G$2</c:f>
              <c:numCache>
                <c:formatCode>General</c:formatCode>
                <c:ptCount val="6"/>
                <c:pt idx="0">
                  <c:v>0</c:v>
                </c:pt>
                <c:pt idx="1">
                  <c:v>0.6</c:v>
                </c:pt>
                <c:pt idx="2">
                  <c:v>0.67</c:v>
                </c:pt>
                <c:pt idx="3">
                  <c:v>1</c:v>
                </c:pt>
                <c:pt idx="4">
                  <c:v>1.3</c:v>
                </c:pt>
                <c:pt idx="5">
                  <c:v>1.5</c:v>
                </c:pt>
              </c:numCache>
            </c:numRef>
          </c:cat>
          <c:val>
            <c:numRef>
              <c:f>'14'!$B$9:$G$9</c:f>
              <c:numCache>
                <c:formatCode>General</c:formatCode>
                <c:ptCount val="6"/>
                <c:pt idx="0">
                  <c:v>300</c:v>
                </c:pt>
                <c:pt idx="1">
                  <c:v>439.05375000000004</c:v>
                </c:pt>
                <c:pt idx="2">
                  <c:v>448.32400000000001</c:v>
                </c:pt>
                <c:pt idx="3">
                  <c:v>485.40499999999997</c:v>
                </c:pt>
                <c:pt idx="4">
                  <c:v>612.87093750000008</c:v>
                </c:pt>
                <c:pt idx="5">
                  <c:v>633.72899999999993</c:v>
                </c:pt>
              </c:numCache>
            </c:numRef>
          </c:val>
          <c:smooth val="0"/>
        </c:ser>
        <c:dLbls>
          <c:showLegendKey val="0"/>
          <c:showVal val="0"/>
          <c:showCatName val="0"/>
          <c:showSerName val="0"/>
          <c:showPercent val="0"/>
          <c:showBubbleSize val="0"/>
        </c:dLbls>
        <c:marker val="1"/>
        <c:smooth val="0"/>
        <c:axId val="173574400"/>
        <c:axId val="173576192"/>
      </c:lineChart>
      <c:catAx>
        <c:axId val="173574400"/>
        <c:scaling>
          <c:orientation val="minMax"/>
        </c:scaling>
        <c:delete val="0"/>
        <c:axPos val="b"/>
        <c:numFmt formatCode="General" sourceLinked="1"/>
        <c:majorTickMark val="out"/>
        <c:minorTickMark val="none"/>
        <c:tickLblPos val="nextTo"/>
        <c:crossAx val="173576192"/>
        <c:crosses val="autoZero"/>
        <c:auto val="1"/>
        <c:lblAlgn val="ctr"/>
        <c:lblOffset val="100"/>
        <c:noMultiLvlLbl val="0"/>
      </c:catAx>
      <c:valAx>
        <c:axId val="173576192"/>
        <c:scaling>
          <c:orientation val="minMax"/>
        </c:scaling>
        <c:delete val="0"/>
        <c:axPos val="l"/>
        <c:majorGridlines/>
        <c:numFmt formatCode="General" sourceLinked="1"/>
        <c:majorTickMark val="out"/>
        <c:minorTickMark val="none"/>
        <c:tickLblPos val="nextTo"/>
        <c:crossAx val="1735744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3470</Words>
  <Characters>19783</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23207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Татьяна Макалова</cp:lastModifiedBy>
  <cp:revision>4</cp:revision>
  <cp:lastPrinted>2018-05-18T16:04:00Z</cp:lastPrinted>
  <dcterms:created xsi:type="dcterms:W3CDTF">2018-05-18T16:10:00Z</dcterms:created>
  <dcterms:modified xsi:type="dcterms:W3CDTF">2018-05-18T16:15:00Z</dcterms:modified>
</cp:coreProperties>
</file>