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МИНИСТЕРСТВО ОБРАЗОВАНИЯ И НАУКИ РОССИИ</w:t>
      </w:r>
    </w:p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Федеральное бюджетное образовательное учреждение</w:t>
      </w:r>
    </w:p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Высшего профессионального образования</w:t>
      </w:r>
    </w:p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«ПЕНЗЕНСКИЙ ГОСУДАРСТВЕННЫЙ УНИВЕРСИТЕТ»</w:t>
      </w:r>
    </w:p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МЕДИЦИНСКИЙ ИНСТИТУТ</w:t>
      </w:r>
    </w:p>
    <w:p w:rsidR="00254339" w:rsidRDefault="00674641">
      <w:p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КАФЕДРА «ТЕРАПИЯ»</w:t>
      </w:r>
    </w:p>
    <w:p w:rsidR="00254339" w:rsidRDefault="00254339">
      <w:pPr>
        <w:spacing w:line="240" w:lineRule="auto"/>
        <w:jc w:val="center"/>
        <w:rPr>
          <w:b/>
        </w:rPr>
      </w:pPr>
    </w:p>
    <w:p w:rsidR="00254339" w:rsidRDefault="00254339">
      <w:pPr>
        <w:spacing w:line="240" w:lineRule="auto"/>
      </w:pPr>
    </w:p>
    <w:p w:rsidR="00254339" w:rsidRDefault="00254339">
      <w:pPr>
        <w:spacing w:line="240" w:lineRule="auto"/>
        <w:ind w:left="0" w:firstLine="0"/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Курсовая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работа</w:t>
      </w:r>
    </w:p>
    <w:p w:rsidR="00254339" w:rsidRDefault="00254339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дисциплине: </w:t>
      </w:r>
      <w:r>
        <w:rPr>
          <w:rFonts w:ascii="Times New Roman" w:hAnsi="Times New Roman" w:cs="Times New Roman"/>
          <w:sz w:val="28"/>
          <w:szCs w:val="28"/>
        </w:rPr>
        <w:t>«Внутренние болезни»</w:t>
      </w: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тему: «Синдром хронической почечной недостаточности».</w:t>
      </w: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студент группы 18лс9 Сафоев Салохиддин Мирзоназарович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Проверила: к.м.н., доцент Авдеева Ирина Владимировна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Заведующй кафедрой:</w:t>
      </w:r>
      <w:r>
        <w:rPr>
          <w:rFonts w:ascii="Times New Roman" w:hAnsi="Times New Roman" w:cs="Times New Roman"/>
          <w:sz w:val="28"/>
          <w:szCs w:val="28"/>
        </w:rPr>
        <w:t xml:space="preserve"> д.м.н.,</w:t>
      </w:r>
      <w:r>
        <w:rPr>
          <w:rFonts w:ascii="Times New Roman" w:hAnsi="Times New Roman" w:cs="Times New Roman"/>
          <w:sz w:val="28"/>
          <w:szCs w:val="28"/>
        </w:rPr>
        <w:t xml:space="preserve"> профессор Олейников Валентин Э</w:t>
      </w:r>
      <w:r>
        <w:rPr>
          <w:rFonts w:ascii="Times New Roman" w:hAnsi="Times New Roman" w:cs="Times New Roman"/>
          <w:sz w:val="28"/>
          <w:szCs w:val="28"/>
        </w:rPr>
        <w:t>левич</w:t>
      </w:r>
    </w:p>
    <w:p w:rsidR="00254339" w:rsidRDefault="00254339">
      <w:pPr>
        <w:spacing w:line="24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254339" w:rsidRDefault="00674641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54339" w:rsidRDefault="00674641">
      <w:pPr>
        <w:ind w:left="0" w:right="1134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Ведение……………………………………………………………….3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Этиология……………………………………………………....4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Патогенез…………………………………………..……….…..5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Клиническая картина…………………………………….…….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Классификации………….…………………………………….</w:t>
      </w:r>
      <w:r>
        <w:rPr>
          <w:rFonts w:ascii="Times New Roman" w:hAnsi="Times New Roman" w:cs="Times New Roman"/>
          <w:sz w:val="28"/>
          <w:szCs w:val="28"/>
        </w:rPr>
        <w:t>..9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</w:t>
      </w:r>
      <w:r>
        <w:rPr>
          <w:rFonts w:ascii="Times New Roman" w:hAnsi="Times New Roman" w:cs="Times New Roman"/>
          <w:sz w:val="28"/>
          <w:szCs w:val="28"/>
        </w:rPr>
        <w:t>диагностики………..………………………………...1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лечения……..……………………………………..1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254339" w:rsidRDefault="00674641">
      <w:pPr>
        <w:pStyle w:val="ab"/>
        <w:numPr>
          <w:ilvl w:val="0"/>
          <w:numId w:val="1"/>
        </w:numPr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Гемодиализ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.15</w:t>
      </w:r>
    </w:p>
    <w:p w:rsidR="00254339" w:rsidRDefault="00674641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254339" w:rsidRDefault="00674641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литературы…………………………………………………..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ind w:left="0" w:right="1134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spacing w:line="240" w:lineRule="auto"/>
        <w:ind w:left="0" w:right="113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54339" w:rsidRDefault="00674641">
      <w:pPr>
        <w:pStyle w:val="a9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Хроническая почечная недостаточность (ХПН) — </w:t>
      </w:r>
      <w:r>
        <w:rPr>
          <w:sz w:val="28"/>
          <w:szCs w:val="28"/>
        </w:rPr>
        <w:t>патологический процесс, обусловленный резким сокращением числа и функции нефронов, что приводит к расстройству экскреторной и инкреторной функции почек, гомеостаза, нарушению метаболизма, кислотно-щелочного равновесия, деятельности всех органов и систем.</w:t>
      </w:r>
    </w:p>
    <w:p w:rsidR="00254339" w:rsidRDefault="00674641">
      <w:pPr>
        <w:pStyle w:val="a9"/>
        <w:shd w:val="clear" w:color="auto" w:fill="FFFFFF"/>
        <w:spacing w:before="0" w:beforeAutospacing="0" w:after="36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Э</w:t>
      </w:r>
      <w:r>
        <w:rPr>
          <w:color w:val="000000"/>
          <w:sz w:val="28"/>
          <w:szCs w:val="28"/>
          <w:shd w:val="clear" w:color="auto" w:fill="FFFFFF"/>
        </w:rPr>
        <w:t>тот синдром очень опасен и требует повышенного внимания,  так как патологическому процессу подвержены все системы органов, причём терминальная стадия ХПН заканчивается летальным исходом. В настоящее время количество больных каждый год увеличивается на 10-1</w:t>
      </w:r>
      <w:r>
        <w:rPr>
          <w:color w:val="000000"/>
          <w:sz w:val="28"/>
          <w:szCs w:val="28"/>
          <w:shd w:val="clear" w:color="auto" w:fill="FFFFFF"/>
        </w:rPr>
        <w:t>2%, поэтому диагностика, лечение и профилактика данного синдрома просто необходимы.</w:t>
      </w: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254339">
      <w:pPr>
        <w:pStyle w:val="a9"/>
        <w:shd w:val="clear" w:color="auto" w:fill="FFFFFF"/>
        <w:spacing w:before="0" w:beforeAutospacing="0" w:after="360" w:afterAutospacing="0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254339" w:rsidRDefault="00674641">
      <w:pPr>
        <w:pStyle w:val="a9"/>
        <w:shd w:val="clear" w:color="auto" w:fill="FFFFFF"/>
        <w:spacing w:before="0" w:beforeAutospacing="0" w:after="36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>1.Этиология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Причинами возникновения  синдрома хронической почечной недостаточности являются различные заболевания, которые приводят к поражению </w:t>
      </w:r>
      <w:r>
        <w:rPr>
          <w:color w:val="000000"/>
          <w:sz w:val="28"/>
          <w:szCs w:val="28"/>
        </w:rPr>
        <w:t>почечных клубочков: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мочекаменная болезнь, гидронефроз, опухоли, приводящие к постепенному сдавлению мочевыводящих путей.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хронические гломерулонефрит и пиелонефрит;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поражение почек лекарственными средствами;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сахарный диабет, подагра, амилоидоз;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</w:t>
      </w:r>
      <w:r>
        <w:rPr>
          <w:color w:val="000000"/>
          <w:sz w:val="28"/>
          <w:szCs w:val="28"/>
        </w:rPr>
        <w:t>доразвитие почек, врожденные сужения почечных артерий, поликистоз.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ревматические заболевания: СКВ, геморрагические васкулиты;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артериальная гипертензия, заболевания, приводящие к нарушению почечного кровотока;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Однако наиболее частыми причинами хроническ</w:t>
      </w:r>
      <w:r>
        <w:rPr>
          <w:color w:val="000000"/>
          <w:sz w:val="28"/>
          <w:szCs w:val="28"/>
        </w:rPr>
        <w:t>ой почечной недостаточности: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-хронический пиелонефрит, 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-хронический гломерулонефрит,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-сахарный диабет,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-недоразвитие почек.</w:t>
      </w: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2.Патогенез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патологическим процессом, составляющим основу  синдрома хронической почечной недостаточности, является нефросклероз. </w:t>
      </w:r>
      <w:r>
        <w:rPr>
          <w:rFonts w:ascii="Times New Roman" w:hAnsi="Times New Roman" w:cs="Times New Roman"/>
          <w:color w:val="000000"/>
          <w:sz w:val="28"/>
          <w:szCs w:val="28"/>
        </w:rPr>
        <w:t>Вследствие сморщивания и дисфункции нефронов нарушается гормональная саморегуляция клубочкового кровотока, развиваются усиленная фи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льтрация  и гипертензия в оставшихся нормально функционирующих нефронах. Следовательно, сопряжённое с гиперфильтрацией повышенное внутриклубочковое давление и усиленный кровоток приводят к склерозу клубочков. </w:t>
      </w:r>
      <w:r>
        <w:rPr>
          <w:rFonts w:ascii="Times New Roman" w:hAnsi="Times New Roman" w:cs="Times New Roman"/>
          <w:sz w:val="28"/>
          <w:szCs w:val="28"/>
        </w:rPr>
        <w:t>При этом регенерация паренхимы почек будет отсу</w:t>
      </w:r>
      <w:r>
        <w:rPr>
          <w:rFonts w:ascii="Times New Roman" w:hAnsi="Times New Roman" w:cs="Times New Roman"/>
          <w:sz w:val="28"/>
          <w:szCs w:val="28"/>
        </w:rPr>
        <w:t xml:space="preserve">тствовать, структура нарушится из-за большого количества сморщенных и склерозированных нефронов. Данные изменения ведут к нарушению выделительной, гомеостатической и фильтрующей функций почек. 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Нарушается функционирование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 – насоса: ионы натрия накапли</w:t>
      </w:r>
      <w:r>
        <w:rPr>
          <w:rFonts w:ascii="Times New Roman" w:hAnsi="Times New Roman" w:cs="Times New Roman"/>
          <w:sz w:val="28"/>
          <w:szCs w:val="28"/>
        </w:rPr>
        <w:t>ваются внутри клетки, а в ионах калия возникает дефицит.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Кислотно-щелочной баланс также претерпевает изменения..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Буферные системы почек смогут поддерживать необходимый рН крови до тех пор, скорость клубочковой фильтрации не снизится ниже 50% её оптимальног</w:t>
      </w:r>
      <w:r>
        <w:rPr>
          <w:rFonts w:ascii="Times New Roman" w:hAnsi="Times New Roman" w:cs="Times New Roman"/>
          <w:color w:val="000000"/>
          <w:sz w:val="28"/>
          <w:szCs w:val="28"/>
        </w:rPr>
        <w:t>о уровня. При дальнейшем снижении рН мощности функционирующих нефронов не хватает, чтобы компенсировать силами бикарбонатного и аммиачного буферов образующиеся организме кислотные остатки. Заключительным этапом всех нарушений КОБ является метаболический ац</w:t>
      </w:r>
      <w:r>
        <w:rPr>
          <w:rFonts w:ascii="Times New Roman" w:hAnsi="Times New Roman" w:cs="Times New Roman"/>
          <w:color w:val="000000"/>
          <w:sz w:val="28"/>
          <w:szCs w:val="28"/>
        </w:rPr>
        <w:t>идоз.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крови задерживаются и накапливаются вредные продукты азотистого обмена: аммиак, креатинин, мочевина, мочевая кислота, аминокислоты (именно они являются причиной аммиачного запаха изо рта пациента при выдохе). 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Нарушается углеводный обмен. </w:t>
      </w:r>
      <w:r>
        <w:rPr>
          <w:rFonts w:ascii="Times New Roman" w:hAnsi="Times New Roman" w:cs="Times New Roman"/>
          <w:sz w:val="28"/>
          <w:szCs w:val="28"/>
        </w:rPr>
        <w:t>Повышается концентрация циркулирующего инсулина, но при этом, как правило, наблюдается нарушение толерантности к глюкозе.</w:t>
      </w: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both"/>
        <w:rPr>
          <w:b/>
          <w:color w:val="000000"/>
          <w:sz w:val="32"/>
          <w:szCs w:val="32"/>
        </w:rPr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3.Клиническая картина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правило выделяют три основных стадии течения хронической почечной недостаточности.</w:t>
      </w:r>
    </w:p>
    <w:p w:rsidR="00254339" w:rsidRDefault="00674641">
      <w:pPr>
        <w:pStyle w:val="ab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стадия (латент</w:t>
      </w:r>
      <w:r>
        <w:rPr>
          <w:rFonts w:ascii="Times New Roman" w:hAnsi="Times New Roman" w:cs="Times New Roman"/>
          <w:sz w:val="28"/>
          <w:szCs w:val="28"/>
        </w:rPr>
        <w:t>ная). Повреждения продолжают увеличиваться, СКФ незначительно снижается ( на 1-2 единицы).</w:t>
      </w:r>
    </w:p>
    <w:p w:rsidR="00254339" w:rsidRDefault="00674641">
      <w:pPr>
        <w:pStyle w:val="ab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стадия (азотемическая). В почках выявляются умеренные нарушения, патологический процесс достаточно скрыт. Могут наблюдаться учащённое </w:t>
      </w:r>
      <w:r>
        <w:rPr>
          <w:rFonts w:ascii="Times New Roman" w:hAnsi="Times New Roman" w:cs="Times New Roman"/>
          <w:sz w:val="28"/>
          <w:szCs w:val="28"/>
        </w:rPr>
        <w:t>мочеиспускание, снижение в крови концентраций эритроцитов и гемоглобина. Пациенты на этой стадии высказывают жалобы на сильную слабость, снижение трудоспособности, ухудшение аппетита, тошнота, рвота, ломкость ногтей и волос, сухость кожи. Наблюдается побле</w:t>
      </w:r>
      <w:r>
        <w:rPr>
          <w:rFonts w:ascii="Times New Roman" w:hAnsi="Times New Roman" w:cs="Times New Roman"/>
          <w:sz w:val="28"/>
          <w:szCs w:val="28"/>
        </w:rPr>
        <w:t>днение кожных покровов и зачастую повышение диастолического давления, появление одышки.</w:t>
      </w:r>
    </w:p>
    <w:p w:rsidR="00254339" w:rsidRDefault="00674641">
      <w:pPr>
        <w:pStyle w:val="ab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Терминальная стадия (уремическая). СКФ уменьшается до 15мл/мин, как следствие уменьшается объём мочи, до полного её отсутствия. Проявляются судороги, «порхающий» тремор</w:t>
      </w:r>
      <w:r>
        <w:rPr>
          <w:rFonts w:ascii="Times New Roman" w:hAnsi="Times New Roman" w:cs="Times New Roman"/>
          <w:sz w:val="28"/>
          <w:szCs w:val="28"/>
        </w:rPr>
        <w:t xml:space="preserve">, хорея, ступор, кома, отвращение к пище, полнота в эпигастрии, постоянная жажда приводящие к анорексии. 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 выделяют начальную стадию, при которой скорость клубочковой фильтрации в норме, но выявляются патологии почек.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 основные жалобы при синдром</w:t>
      </w:r>
      <w:r>
        <w:rPr>
          <w:rFonts w:ascii="Times New Roman" w:hAnsi="Times New Roman" w:cs="Times New Roman"/>
          <w:sz w:val="28"/>
          <w:szCs w:val="28"/>
        </w:rPr>
        <w:t>е ХПН: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-общая слабость, утомляемость;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-головные боли, ухудшение памяти;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-тошнота, рвота, диспепсические расстройства;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-возрастающая жажда;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-шелушение кожи, ломкость волос и ногтей;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-уменьшение объёма мочи;</w:t>
      </w:r>
    </w:p>
    <w:p w:rsidR="00254339" w:rsidRDefault="00674641">
      <w:pPr>
        <w:spacing w:line="240" w:lineRule="auto"/>
        <w:ind w:left="10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-стойкий аммиачный запах пота;</w:t>
      </w:r>
    </w:p>
    <w:p w:rsidR="00254339" w:rsidRDefault="00674641">
      <w:pPr>
        <w:pStyle w:val="ab"/>
        <w:spacing w:line="240" w:lineRule="auto"/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Данные общего осмот</w:t>
      </w:r>
      <w:r>
        <w:rPr>
          <w:rFonts w:ascii="Times New Roman" w:hAnsi="Times New Roman" w:cs="Times New Roman"/>
          <w:sz w:val="28"/>
          <w:szCs w:val="28"/>
          <w:u w:val="single"/>
        </w:rPr>
        <w:t>ра и физикальный статус: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Состояние больных на первой стадии удовлетворительное, на второй – средней тяжести, на терминальной стадии тяжёлое либо крайне тяжёлое.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Сознание на первой стадии будет ясным либо незначительно заторможенным, на азотемической стадии</w:t>
      </w:r>
      <w:r>
        <w:rPr>
          <w:rFonts w:ascii="Times New Roman" w:hAnsi="Times New Roman" w:cs="Times New Roman"/>
          <w:sz w:val="28"/>
          <w:szCs w:val="28"/>
        </w:rPr>
        <w:t xml:space="preserve"> может выявляться ступор, а во время уремической стадии возможны и ступор, и кома.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пациента во время латентной стадии активное, на второй - активное или вынужденное, из-за одышки, в терминальную стадию -  пассивное.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Кожные покровы больных при осм</w:t>
      </w:r>
      <w:r>
        <w:rPr>
          <w:rFonts w:ascii="Times New Roman" w:hAnsi="Times New Roman" w:cs="Times New Roman"/>
          <w:sz w:val="28"/>
          <w:szCs w:val="28"/>
        </w:rPr>
        <w:t>отре бледные, из-за развивающейся анемии, сухие, с желтоватым либо землистым оттенком, вследствие задержки  урохрома. В уремической стадии у больных возможен кожный зуд, расчёсы, вследствие «уремического инея», который остаётся на поверхности кожи после вы</w:t>
      </w:r>
      <w:r>
        <w:rPr>
          <w:rFonts w:ascii="Times New Roman" w:hAnsi="Times New Roman" w:cs="Times New Roman"/>
          <w:sz w:val="28"/>
          <w:szCs w:val="28"/>
        </w:rPr>
        <w:t>сыхания капелек пота с повышенной содержанием в нём мочевины.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Подкожно-жировая клетчатка пациентов с ХПН слабо развита, вплоть до кахексии, вследствие тошноты, рвоты, отсутствия аппетита и диареи.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Мышечная система теряет тонус, наступает атрофия мышц, хара</w:t>
      </w:r>
      <w:r>
        <w:rPr>
          <w:rFonts w:ascii="Times New Roman" w:hAnsi="Times New Roman" w:cs="Times New Roman"/>
          <w:sz w:val="28"/>
          <w:szCs w:val="28"/>
        </w:rPr>
        <w:t>ктерные для терминальной стадии судороги и тремор.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костной системе выявляются несколько типов нарушений: остеосклероз, почечный рахит, кистозно-фиброзный остеит, переломы (чаще всего ребёр, шейки бедра).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стороны органов дыхания выявляется отек лёгких,</w:t>
      </w:r>
      <w:r>
        <w:rPr>
          <w:rFonts w:ascii="Times New Roman" w:hAnsi="Times New Roman" w:cs="Times New Roman"/>
          <w:sz w:val="28"/>
          <w:szCs w:val="28"/>
        </w:rPr>
        <w:t xml:space="preserve"> из-за скопления экссудата, «уремические лёгкие», сухой или экссудативный плеврит. При аускультации может выявляться ослабленное везикулярное дыхание, а в терминальную стадию дыхание Куссмауля.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сердечно-сосудистой системе выявляются артериальная гипертен</w:t>
      </w:r>
      <w:r>
        <w:rPr>
          <w:rFonts w:ascii="Times New Roman" w:hAnsi="Times New Roman" w:cs="Times New Roman"/>
          <w:sz w:val="28"/>
          <w:szCs w:val="28"/>
        </w:rPr>
        <w:t>зия, нарушения ритма, систолический шум, смещение границ сердца, редко выпотной или фибринозный перикардит.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нервной системе проявляются расстройством сознания, бессонницей или наоборот сонливостью, периферической невропатией, деменцией.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стор</w:t>
      </w:r>
      <w:r>
        <w:rPr>
          <w:rFonts w:ascii="Times New Roman" w:hAnsi="Times New Roman" w:cs="Times New Roman"/>
          <w:sz w:val="28"/>
          <w:szCs w:val="28"/>
        </w:rPr>
        <w:t>оны ЖКТ наблюдаются следующие нарушения: появление аммиачного запаха изо рта, наличие серого или желтоватого налёта на языке, афты на СОПР (признаки афтозного стоматита), тошнота, рвота, диарея, часто язвенные заболевания, приводящие к кровотечениям в желу</w:t>
      </w:r>
      <w:r>
        <w:rPr>
          <w:rFonts w:ascii="Times New Roman" w:hAnsi="Times New Roman" w:cs="Times New Roman"/>
          <w:sz w:val="28"/>
          <w:szCs w:val="28"/>
        </w:rPr>
        <w:t>дке и кишечнике.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выделительной системе. Почки болезненны, не пальпируются, аускультацию и перкуссию при синдроме хронической почечной недостаточности, как правило, не проводят, потому что данные методы обследования неинформативны, так как при ХПН происхо</w:t>
      </w:r>
      <w:r>
        <w:rPr>
          <w:rFonts w:ascii="Times New Roman" w:hAnsi="Times New Roman" w:cs="Times New Roman"/>
          <w:sz w:val="28"/>
          <w:szCs w:val="28"/>
        </w:rPr>
        <w:t>дит сморщивание почек, и они становятся малодоступными. На первых двух стадиях течения заболевания выявляются никтурия и полиурия, а  олигурия и в последующем анурия на третьей (терминальной стадии).</w:t>
      </w:r>
    </w:p>
    <w:p w:rsidR="00254339" w:rsidRDefault="00674641">
      <w:pPr>
        <w:pStyle w:val="ab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эндокринной системе у подростков проявляются</w:t>
      </w:r>
      <w:r>
        <w:rPr>
          <w:rFonts w:ascii="Times New Roman" w:hAnsi="Times New Roman" w:cs="Times New Roman"/>
          <w:sz w:val="28"/>
          <w:szCs w:val="28"/>
        </w:rPr>
        <w:t xml:space="preserve"> нарушением полового созревания и роста, у мужчин -  снижением уровня тестостерона, импотенцией, олигоспермией, у женщин - аминореей.</w:t>
      </w:r>
    </w:p>
    <w:p w:rsidR="00254339" w:rsidRDefault="00254339">
      <w:pPr>
        <w:pStyle w:val="ab"/>
        <w:spacing w:line="240" w:lineRule="auto"/>
        <w:ind w:left="121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21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254339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32"/>
          <w:szCs w:val="32"/>
        </w:rPr>
      </w:pP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4.Классификации ХПН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Существует несколько классификаций хронической почечной </w:t>
      </w:r>
      <w:r>
        <w:rPr>
          <w:color w:val="000000"/>
          <w:sz w:val="28"/>
          <w:szCs w:val="28"/>
        </w:rPr>
        <w:t>недостаточности.</w:t>
      </w:r>
    </w:p>
    <w:p w:rsidR="00254339" w:rsidRDefault="00674641">
      <w:pPr>
        <w:pStyle w:val="a9"/>
        <w:numPr>
          <w:ilvl w:val="0"/>
          <w:numId w:val="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Классификация по Рябову. </w:t>
      </w:r>
      <w:r>
        <w:rPr>
          <w:color w:val="000000"/>
          <w:sz w:val="28"/>
          <w:szCs w:val="28"/>
        </w:rPr>
        <w:t>Она основана на трёх основных стадиях заболевания и количестве креатинина, содержащегося в плазме крови.</w:t>
      </w:r>
    </w:p>
    <w:p w:rsidR="00254339" w:rsidRDefault="00674641">
      <w:pPr>
        <w:pStyle w:val="a9"/>
        <w:numPr>
          <w:ilvl w:val="0"/>
          <w:numId w:val="5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Латентная стадия (начальная).</w:t>
      </w:r>
      <w:r>
        <w:rPr>
          <w:color w:val="000000"/>
          <w:sz w:val="28"/>
          <w:szCs w:val="28"/>
        </w:rPr>
        <w:t xml:space="preserve"> Является обратимой, подразделяется на две фазы: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1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А - скорость клубочковой фильтрации (СКФ) и креатинин в пределах нормы.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1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Б - СКФ снижена, но не больше чем на 50%, креатинин увеличен до 0,13 ммоль/л.</w:t>
      </w:r>
    </w:p>
    <w:p w:rsidR="00254339" w:rsidRDefault="00674641">
      <w:pPr>
        <w:pStyle w:val="a9"/>
        <w:numPr>
          <w:ilvl w:val="0"/>
          <w:numId w:val="5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Азотемическая стадия</w:t>
      </w:r>
      <w:r>
        <w:rPr>
          <w:color w:val="000000"/>
          <w:sz w:val="28"/>
          <w:szCs w:val="28"/>
        </w:rPr>
        <w:t>. Является стабильной и про</w:t>
      </w:r>
      <w:r>
        <w:rPr>
          <w:color w:val="000000"/>
          <w:sz w:val="28"/>
          <w:szCs w:val="28"/>
        </w:rPr>
        <w:t>грессирующей формой, так же делится на две фазы: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06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А - креатинин повышен до 0,14-0,44 ммоль/л, СКФ снижена (20-50%).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06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Б - креатинин увеличен до 0,45-0,71 ммоль/л, СКФ снижена (10-20%).</w:t>
      </w:r>
    </w:p>
    <w:p w:rsidR="00254339" w:rsidRDefault="00674641">
      <w:pPr>
        <w:pStyle w:val="a9"/>
        <w:numPr>
          <w:ilvl w:val="0"/>
          <w:numId w:val="5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Уремическая стадия </w:t>
      </w:r>
      <w:r>
        <w:rPr>
          <w:color w:val="000000"/>
          <w:sz w:val="28"/>
          <w:szCs w:val="28"/>
        </w:rPr>
        <w:t>(третья, прогрессирующая). Состоит из: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06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А</w:t>
      </w:r>
      <w:r>
        <w:rPr>
          <w:color w:val="000000"/>
          <w:sz w:val="28"/>
          <w:szCs w:val="28"/>
        </w:rPr>
        <w:t xml:space="preserve"> - уровень креатинина 0,72-0,44 ммоль/л, СКФ очень низкая (5-10%).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ind w:left="206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Фаза Б -  креатинина выше, либо равен 1,25 ммоль/л, СКФ меньше 5%.</w:t>
      </w:r>
    </w:p>
    <w:p w:rsidR="00254339" w:rsidRDefault="00674641">
      <w:pPr>
        <w:pStyle w:val="a9"/>
        <w:numPr>
          <w:ilvl w:val="0"/>
          <w:numId w:val="4"/>
        </w:numPr>
        <w:shd w:val="clear" w:color="auto" w:fill="FFFFFF"/>
        <w:spacing w:before="0" w:beforeAutospacing="0" w:after="238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Классификация по скорости клубочковой фильтрации. </w:t>
      </w:r>
      <w:r>
        <w:rPr>
          <w:color w:val="000000"/>
          <w:sz w:val="28"/>
          <w:szCs w:val="28"/>
        </w:rPr>
        <w:t>Берётся во внимание СКФ, величина которой рассчитывается по  формуле, пр</w:t>
      </w:r>
      <w:r>
        <w:rPr>
          <w:color w:val="000000"/>
          <w:sz w:val="28"/>
          <w:szCs w:val="28"/>
        </w:rPr>
        <w:t>едставленной на рисунке 1.</w:t>
      </w:r>
    </w:p>
    <w:p w:rsidR="00254339" w:rsidRDefault="00674641">
      <w:pPr>
        <w:pStyle w:val="a9"/>
        <w:shd w:val="clear" w:color="auto" w:fill="FFFFFF"/>
        <w:spacing w:before="0" w:beforeAutospacing="0" w:after="238" w:afterAutospacing="0"/>
        <w:jc w:val="both"/>
        <w:rPr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36210" cy="3921760"/>
            <wp:effectExtent l="19050" t="0" r="2540" b="0"/>
            <wp:wrapSquare wrapText="bothSides"/>
            <wp:docPr id="3" name="Рисунок 1" descr="https://vbguwc.ru/wp-content/uploads/2018/05/89eeccf23f8e9d7b8a02409469cc2f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https://vbguwc.ru/wp-content/uploads/2018/05/89eeccf23f8e9d7b8a02409469cc2fe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392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-1066800</wp:posOffset>
                </wp:positionH>
                <wp:positionV relativeFrom="paragraph">
                  <wp:posOffset>3114675</wp:posOffset>
                </wp:positionV>
                <wp:extent cx="1574165" cy="294640"/>
                <wp:effectExtent l="0" t="0" r="635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7416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339" w:rsidRDefault="00674641">
                            <w:pPr>
                              <w:ind w:left="0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Рис.1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84pt;margin-top:245.25pt;width:123.9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">
                <v:path arrowok="t"/>
                <v:textbox>
                  <w:txbxContent>
                    <w:p w:rsidR="00254339" w:rsidRDefault="00674641">
                      <w:pPr>
                        <w:ind w:left="0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Рис.1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По изменению СКФ хроническая почечная недостаточность делится на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стади</w:t>
      </w:r>
      <w:r>
        <w:rPr>
          <w:sz w:val="28"/>
          <w:szCs w:val="28"/>
        </w:rPr>
        <w:t>и</w:t>
      </w:r>
      <w:r>
        <w:rPr>
          <w:sz w:val="28"/>
          <w:szCs w:val="28"/>
        </w:rPr>
        <w:t>:</w:t>
      </w:r>
    </w:p>
    <w:p w:rsidR="00254339" w:rsidRDefault="00674641">
      <w:pPr>
        <w:pStyle w:val="ab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 – СКФ равна 60-89 мл/мин;</w:t>
      </w:r>
    </w:p>
    <w:p w:rsidR="00254339" w:rsidRDefault="00674641">
      <w:pPr>
        <w:pStyle w:val="ab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 – СКФ равна 30-59 мл/мин;</w:t>
      </w:r>
    </w:p>
    <w:p w:rsidR="00254339" w:rsidRDefault="00674641">
      <w:pPr>
        <w:pStyle w:val="ab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 – СКФ равна 15-30 мл/мин;</w:t>
      </w:r>
    </w:p>
    <w:p w:rsidR="00254339" w:rsidRDefault="00674641">
      <w:pPr>
        <w:pStyle w:val="ab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 – СКФ сеньше 15 мл/мин.</w:t>
      </w:r>
    </w:p>
    <w:p w:rsidR="00254339" w:rsidRDefault="00674641">
      <w:pPr>
        <w:pStyle w:val="ab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Классификация по уровню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альбуминурии.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54339" w:rsidRDefault="00674641">
      <w:pPr>
        <w:pStyle w:val="ab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Категория А1 – скорость экскреции альбумина (СЭА) меньше 30 мг/24 часа, отношение альбумин/креатинин мочи (А/Кр) меньше 3 мг/ммоль.</w:t>
      </w:r>
    </w:p>
    <w:p w:rsidR="00254339" w:rsidRDefault="00674641">
      <w:pPr>
        <w:pStyle w:val="ab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Категория А2 – СЭА равно 3-30 мг/24 часа, А/Кр = 3-30 мг/ммоль.</w:t>
      </w:r>
    </w:p>
    <w:p w:rsidR="00254339" w:rsidRDefault="00674641">
      <w:pPr>
        <w:pStyle w:val="ab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Категория А3 – СЭА меньше 300 мг/24 часа, А/К</w:t>
      </w:r>
      <w:r>
        <w:rPr>
          <w:rFonts w:ascii="Times New Roman" w:hAnsi="Times New Roman" w:cs="Times New Roman"/>
          <w:sz w:val="28"/>
          <w:szCs w:val="28"/>
          <w:lang w:eastAsia="ru-RU"/>
        </w:rPr>
        <w:t>р больше 30 мг/ммоль.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IV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 Классификация Н.А. Лопаткина и И.Н. Кучинского.</w:t>
      </w:r>
    </w:p>
    <w:p w:rsidR="00254339" w:rsidRDefault="00674641">
      <w:pPr>
        <w:pStyle w:val="ab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Латентная стадия</w:t>
      </w:r>
    </w:p>
    <w:p w:rsidR="00254339" w:rsidRDefault="00674641">
      <w:pPr>
        <w:pStyle w:val="ab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Компенсированная стадия</w:t>
      </w:r>
    </w:p>
    <w:p w:rsidR="00254339" w:rsidRDefault="00674641">
      <w:pPr>
        <w:pStyle w:val="ab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Интермиттирующая стадия</w:t>
      </w:r>
    </w:p>
    <w:p w:rsidR="00254339" w:rsidRDefault="00674641">
      <w:pPr>
        <w:pStyle w:val="ab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Терминальная стадия, включающая четыре периода: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lastRenderedPageBreak/>
        <w:t>V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Классификация Е.М. Тареева. </w:t>
      </w:r>
      <w:r>
        <w:rPr>
          <w:rFonts w:ascii="Times New Roman" w:hAnsi="Times New Roman" w:cs="Times New Roman"/>
          <w:sz w:val="28"/>
          <w:szCs w:val="28"/>
          <w:lang w:eastAsia="ru-RU"/>
        </w:rPr>
        <w:t>Считается наиболее простой и удобной в практическом применении.</w:t>
      </w:r>
    </w:p>
    <w:p w:rsidR="00254339" w:rsidRDefault="00674641">
      <w:pPr>
        <w:pStyle w:val="ab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Консервативная стадия (снижение СКФ до 40 мл/мин).</w:t>
      </w:r>
    </w:p>
    <w:p w:rsidR="00254339" w:rsidRDefault="00674641">
      <w:pPr>
        <w:pStyle w:val="ab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Терминальная стадия ( снижение СКФ до 15 мл/мин и менее).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4652645</wp:posOffset>
                </wp:positionH>
                <wp:positionV relativeFrom="paragraph">
                  <wp:posOffset>248285</wp:posOffset>
                </wp:positionV>
                <wp:extent cx="1431290" cy="326390"/>
                <wp:effectExtent l="0" t="0" r="3810" b="38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129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339" w:rsidRDefault="00674641">
                            <w:pPr>
                              <w:ind w:left="0" w:firstLine="0"/>
                            </w:pPr>
                            <w:r>
                              <w:t>Рисунок 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366.35pt;margin-top:19.55pt;width:112.7pt;height:2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">
                <v:path arrowok="t"/>
                <v:textbox>
                  <w:txbxContent>
                    <w:p w:rsidR="00254339" w:rsidRDefault="00674641">
                      <w:pPr>
                        <w:ind w:left="0" w:firstLine="0"/>
                      </w:pPr>
                      <w:r>
                        <w:t>Рисунок 2.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VI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 Классификация с точки зрения клинич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еского подолхода.(Рис. 2)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48985" cy="3315335"/>
            <wp:effectExtent l="19050" t="0" r="0" b="0"/>
            <wp:docPr id="5" name="Рисунок 7" descr="https://theslide.ru/img/thumbs/cc8e0d15076f76b2f9b037a4c4366055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" descr="https://theslide.ru/img/thumbs/cc8e0d15076f76b2f9b037a4c4366055-800x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7647" r="1553" b="8021"/>
                    <a:stretch>
                      <a:fillRect/>
                    </a:stretch>
                  </pic:blipFill>
                  <pic:spPr>
                    <a:xfrm>
                      <a:off x="0" y="0"/>
                      <a:ext cx="5849013" cy="331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5.Диагностика.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Лабораторные методы.</w:t>
      </w:r>
    </w:p>
    <w:p w:rsidR="00254339" w:rsidRDefault="00674641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мочи. Будут наблюдаться постепенное снижение плотности мочи, прогрессирующая гематурия и лейкоцитурия.</w:t>
      </w:r>
    </w:p>
    <w:p w:rsidR="00254339" w:rsidRDefault="00674641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Клинический анализ крови. Выявляется </w:t>
      </w:r>
      <w:r>
        <w:rPr>
          <w:rFonts w:ascii="Times New Roman" w:hAnsi="Times New Roman" w:cs="Times New Roman"/>
          <w:sz w:val="28"/>
          <w:szCs w:val="28"/>
        </w:rPr>
        <w:t>гипохромная/нормохромная анемия, вследствие снижения эритропоэза в костном мозге и в почках (неблагоприятное воздействие азотемии, нарушение эритропоэтической функции из-за дисфункции почек). Возможны тромбоцитопения и умеренный лейкоцитоз, скорость оседан</w:t>
      </w:r>
      <w:r>
        <w:rPr>
          <w:rFonts w:ascii="Times New Roman" w:hAnsi="Times New Roman" w:cs="Times New Roman"/>
          <w:sz w:val="28"/>
          <w:szCs w:val="28"/>
        </w:rPr>
        <w:t>ия эритроцитов (СОЭ) в основном снижена.</w:t>
      </w:r>
    </w:p>
    <w:p w:rsidR="00254339" w:rsidRDefault="00674641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Биохимический анализ крови. Повышение креатинина на разных стадиях ХПН, как проявление азотемии. Умеренные гипонатриемия и гипохлоремия, гипокалиемия на первой стадии ХПН и гиперкалиемия на последующихх. Также диагн</w:t>
      </w:r>
      <w:r>
        <w:rPr>
          <w:rFonts w:ascii="Times New Roman" w:hAnsi="Times New Roman" w:cs="Times New Roman"/>
          <w:sz w:val="28"/>
          <w:szCs w:val="28"/>
        </w:rPr>
        <w:t>остируют гипокальциемию, гиперфосфатемию и гипермагниемию. Со стороны КОБ - метаболический ацидоз.</w:t>
      </w:r>
    </w:p>
    <w:p w:rsidR="00254339" w:rsidRDefault="00674641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Функциональные пробы почек. По пробе Реберга определяют постепенное снижение фильтрации и реабсорбции.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Инструментальные методы.</w:t>
      </w:r>
    </w:p>
    <w:p w:rsidR="00254339" w:rsidRDefault="00674641">
      <w:pPr>
        <w:pStyle w:val="ab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УЗИ почек. При исследованиях </w:t>
      </w:r>
      <w:r>
        <w:rPr>
          <w:rFonts w:ascii="Times New Roman" w:hAnsi="Times New Roman" w:cs="Times New Roman"/>
          <w:sz w:val="28"/>
          <w:szCs w:val="28"/>
        </w:rPr>
        <w:t>ультразвуком выявляется уменьшение их размеров.</w:t>
      </w:r>
    </w:p>
    <w:p w:rsidR="00254339" w:rsidRDefault="00674641">
      <w:pPr>
        <w:pStyle w:val="ab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>
            <wp:extent cx="1976120" cy="1715135"/>
            <wp:effectExtent l="0" t="0" r="5080" b="18415"/>
            <wp:docPr id="4" name="Изображение 4" descr="Pochka-pri-HPN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Pochka-pri-HPN-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71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339" w:rsidRDefault="00674641">
      <w:pPr>
        <w:pStyle w:val="ab"/>
        <w:spacing w:line="240" w:lineRule="auto"/>
        <w:ind w:left="2100" w:firstLine="7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5</w:t>
      </w:r>
    </w:p>
    <w:p w:rsidR="00254339" w:rsidRDefault="00674641">
      <w:pPr>
        <w:pStyle w:val="ab"/>
        <w:spacing w:line="240" w:lineRule="auto"/>
        <w:ind w:left="2100" w:firstLine="7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узи видно что почка уменьшена в размерах и сморщена за счёт атрофии и склероза нефронов.</w:t>
      </w:r>
    </w:p>
    <w:p w:rsidR="00254339" w:rsidRDefault="00254339">
      <w:pPr>
        <w:pStyle w:val="ab"/>
        <w:spacing w:line="240" w:lineRule="auto"/>
        <w:ind w:left="2100" w:firstLine="700"/>
        <w:jc w:val="left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2100" w:firstLine="700"/>
        <w:jc w:val="left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2100" w:firstLine="700"/>
        <w:jc w:val="left"/>
        <w:rPr>
          <w:rFonts w:ascii="Times New Roman" w:hAnsi="Times New Roman" w:cs="Times New Roman"/>
          <w:sz w:val="28"/>
          <w:szCs w:val="28"/>
        </w:rPr>
      </w:pPr>
    </w:p>
    <w:p w:rsidR="00254339" w:rsidRDefault="00674641">
      <w:pPr>
        <w:pStyle w:val="ab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рентгенограмме грудной клетки заметен отёк лёгких в виде «крыла бабочки».</w:t>
      </w:r>
      <w:r>
        <w:rPr>
          <w:rFonts w:ascii="Times New Roman" w:hAnsi="Times New Roman" w:cs="Times New Roman"/>
          <w:sz w:val="28"/>
          <w:szCs w:val="28"/>
        </w:rPr>
        <w:t xml:space="preserve"> (Рис. 6)</w:t>
      </w:r>
    </w:p>
    <w:p w:rsidR="00254339" w:rsidRDefault="00674641">
      <w:pPr>
        <w:pStyle w:val="ab"/>
        <w:spacing w:line="240" w:lineRule="auto"/>
        <w:ind w:left="157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114300" distR="114300">
            <wp:extent cx="2306955" cy="1730375"/>
            <wp:effectExtent l="0" t="0" r="17145" b="3175"/>
            <wp:docPr id="6" name="Изображение 6" descr="14326_html_2b270d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4326_html_2b270da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339" w:rsidRDefault="00674641">
      <w:pPr>
        <w:pStyle w:val="ab"/>
        <w:spacing w:line="240" w:lineRule="auto"/>
        <w:ind w:left="2800" w:firstLine="7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</w:t>
      </w:r>
    </w:p>
    <w:p w:rsidR="00254339" w:rsidRDefault="00674641">
      <w:pPr>
        <w:pStyle w:val="ab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ЭКГ </w:t>
      </w:r>
      <w:r>
        <w:rPr>
          <w:rFonts w:ascii="Times New Roman" w:hAnsi="Times New Roman" w:cs="Times New Roman"/>
          <w:sz w:val="28"/>
          <w:szCs w:val="28"/>
        </w:rPr>
        <w:t>исследование. Изменение обусловлено гипер- или гипокалиемией.</w:t>
      </w: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pStyle w:val="ab"/>
        <w:spacing w:line="240" w:lineRule="auto"/>
        <w:ind w:left="142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6.Принципы лечения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Лечение зависит от стадии и характера течения, так же от наличия сопутствующих заболеваний. Применяют:</w:t>
      </w:r>
    </w:p>
    <w:p w:rsidR="00254339" w:rsidRDefault="00674641">
      <w:pPr>
        <w:pStyle w:val="ab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Гипотензивные и мочегонные средства </w:t>
      </w:r>
      <w:r>
        <w:rPr>
          <w:rFonts w:ascii="Times New Roman" w:hAnsi="Times New Roman" w:cs="Times New Roman"/>
          <w:sz w:val="28"/>
          <w:szCs w:val="28"/>
        </w:rPr>
        <w:t>(Индапамид).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диеты для предотвращения распада собственного белка ограниченное количество белка и высокая калорийность. 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Ликвидация гиперкалиемии путём  введения глюкозы. 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гипонатриемии внутривенным введением 10 %-ного раствора натрия </w:t>
      </w:r>
      <w:r>
        <w:rPr>
          <w:rFonts w:ascii="Times New Roman" w:hAnsi="Times New Roman" w:cs="Times New Roman"/>
          <w:sz w:val="28"/>
          <w:szCs w:val="28"/>
        </w:rPr>
        <w:t xml:space="preserve">хлорида. 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Гипернатриемии - введением натрийдиуретиков (10 %-ный раствор глюконата кальция), тахистина (0,125 мг). 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восстановления КОБ: диета, содовые клизмы, внутривенное введение щелочных растворов, 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анемии:  препараты  тестостерона по 300 мг в не</w:t>
      </w:r>
      <w:r>
        <w:rPr>
          <w:rFonts w:ascii="Times New Roman" w:hAnsi="Times New Roman" w:cs="Times New Roman"/>
          <w:sz w:val="28"/>
          <w:szCs w:val="28"/>
        </w:rPr>
        <w:t>делю 3–6 месяцев; препараты железа только при их дефиците.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поздних стадиях проводят гемодиализ.</w:t>
      </w:r>
    </w:p>
    <w:p w:rsidR="00254339" w:rsidRDefault="00674641">
      <w:pPr>
        <w:pStyle w:val="ab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Хирургический метод путём пересадки почки.</w:t>
      </w:r>
    </w:p>
    <w:p w:rsidR="00254339" w:rsidRDefault="00674641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Профилактикой является своевременное лечение основных заболеваний, диспансеризация, то есть необходимо </w:t>
      </w:r>
      <w:r>
        <w:rPr>
          <w:rFonts w:ascii="Times New Roman" w:hAnsi="Times New Roman" w:cs="Times New Roman"/>
          <w:sz w:val="28"/>
          <w:szCs w:val="28"/>
        </w:rPr>
        <w:t>устранить этиологические и патогенетические причины хронической почечной недостаточности.</w:t>
      </w: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7.Гемодиализ</w:t>
      </w:r>
    </w:p>
    <w:p w:rsidR="00254339" w:rsidRDefault="00254339">
      <w:pPr>
        <w:pStyle w:val="ab"/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114300" distR="114300">
            <wp:extent cx="5608955" cy="4308475"/>
            <wp:effectExtent l="0" t="0" r="10795" b="15875"/>
            <wp:docPr id="1" name="Изображение 1" descr="d264ed6d62743a9b8dafa1a7b15ba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d264ed6d62743a9b8dafa1a7b15bab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339" w:rsidRDefault="00674641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Рис. 3</w:t>
      </w: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0" w:firstLine="70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Гемодиализ</w:t>
      </w:r>
      <w:r>
        <w:rPr>
          <w:rFonts w:ascii="Times New Roman" w:hAnsi="Times New Roman" w:cs="Times New Roman"/>
          <w:bCs/>
          <w:sz w:val="28"/>
          <w:szCs w:val="28"/>
        </w:rPr>
        <w:t xml:space="preserve"> (Рис.3) - процесс очищение крови при хронической или острой почечной недостаточности. При этом происходит выведение из организма токсических продуктов обмена веществ, устранение нарушений в электролитном и водном балансе. </w:t>
      </w:r>
    </w:p>
    <w:p w:rsidR="00254339" w:rsidRDefault="00254339">
      <w:pPr>
        <w:pStyle w:val="ab"/>
        <w:spacing w:line="240" w:lineRule="auto"/>
        <w:ind w:left="0" w:firstLine="70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 1.</w:t>
      </w:r>
    </w:p>
    <w:tbl>
      <w:tblPr>
        <w:tblStyle w:val="aa"/>
        <w:tblW w:w="9820" w:type="dxa"/>
        <w:tblLayout w:type="fixed"/>
        <w:tblLook w:val="04A0" w:firstRow="1" w:lastRow="0" w:firstColumn="1" w:lastColumn="0" w:noHBand="0" w:noVBand="1"/>
      </w:tblPr>
      <w:tblGrid>
        <w:gridCol w:w="2875"/>
        <w:gridCol w:w="3240"/>
        <w:gridCol w:w="3705"/>
      </w:tblGrid>
      <w:tr w:rsidR="00254339">
        <w:tc>
          <w:tcPr>
            <w:tcW w:w="287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диализа</w:t>
            </w:r>
          </w:p>
        </w:tc>
        <w:tc>
          <w:tcPr>
            <w:tcW w:w="3240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Периодично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сть</w:t>
            </w:r>
          </w:p>
        </w:tc>
        <w:tc>
          <w:tcPr>
            <w:tcW w:w="370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Преимущество</w:t>
            </w:r>
          </w:p>
        </w:tc>
      </w:tr>
      <w:tr w:rsidR="00254339">
        <w:tc>
          <w:tcPr>
            <w:tcW w:w="287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Перитонеальный</w:t>
            </w:r>
          </w:p>
        </w:tc>
        <w:tc>
          <w:tcPr>
            <w:tcW w:w="3240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Каждые 6 часов</w:t>
            </w:r>
          </w:p>
        </w:tc>
        <w:tc>
          <w:tcPr>
            <w:tcW w:w="370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Отсутствует риск развития кровотечения</w:t>
            </w:r>
          </w:p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 нагрузки на сердце</w:t>
            </w:r>
          </w:p>
        </w:tc>
      </w:tr>
      <w:tr w:rsidR="00254339">
        <w:tc>
          <w:tcPr>
            <w:tcW w:w="287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Гемодиализ</w:t>
            </w:r>
          </w:p>
        </w:tc>
        <w:tc>
          <w:tcPr>
            <w:tcW w:w="3240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3-4 раза в неделю</w:t>
            </w:r>
          </w:p>
        </w:tc>
        <w:tc>
          <w:tcPr>
            <w:tcW w:w="3705" w:type="dxa"/>
          </w:tcPr>
          <w:p w:rsidR="00254339" w:rsidRDefault="00674641">
            <w:pPr>
              <w:pStyle w:val="ab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Малая продолжительность процедуры</w:t>
            </w:r>
          </w:p>
        </w:tc>
      </w:tr>
    </w:tbl>
    <w:p w:rsidR="00254339" w:rsidRDefault="00254339">
      <w:pPr>
        <w:pStyle w:val="ab"/>
        <w:spacing w:line="240" w:lineRule="auto"/>
        <w:ind w:left="0" w:firstLine="70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0" w:firstLine="70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Подробно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процесс диализа можно посмотреть на рисунке 4:</w:t>
      </w:r>
    </w:p>
    <w:p w:rsidR="00254339" w:rsidRDefault="00254339">
      <w:pPr>
        <w:pStyle w:val="ab"/>
        <w:spacing w:line="240" w:lineRule="auto"/>
        <w:ind w:left="0" w:firstLine="70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674641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114300" distR="114300">
            <wp:extent cx="5937885" cy="3989070"/>
            <wp:effectExtent l="0" t="0" r="5715" b="11430"/>
            <wp:docPr id="2" name="Изображение 2" descr="Gemodializ-poch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Gemodializ-pochek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339" w:rsidRDefault="00674641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Рис</w:t>
      </w:r>
      <w:r>
        <w:rPr>
          <w:rFonts w:ascii="Times New Roman" w:hAnsi="Times New Roman" w:cs="Times New Roman"/>
          <w:bCs/>
          <w:sz w:val="28"/>
          <w:szCs w:val="28"/>
        </w:rPr>
        <w:t>. 4</w:t>
      </w: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1429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54339" w:rsidRDefault="00254339">
      <w:pPr>
        <w:pStyle w:val="ab"/>
        <w:spacing w:line="240" w:lineRule="auto"/>
        <w:ind w:left="0" w:firstLine="0"/>
        <w:rPr>
          <w:rFonts w:ascii="Times New Roman" w:hAnsi="Times New Roman" w:cs="Times New Roman"/>
          <w:b/>
          <w:sz w:val="32"/>
          <w:szCs w:val="32"/>
        </w:rPr>
      </w:pPr>
    </w:p>
    <w:p w:rsidR="00254339" w:rsidRDefault="00674641">
      <w:pPr>
        <w:pStyle w:val="ab"/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54339" w:rsidRDefault="00674641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Синдром хронической почечной недостаточности – это одна из главных и опасных для человека причин дисфункции почек. ХПН является следствием уже имеющихся </w:t>
      </w:r>
      <w:r>
        <w:rPr>
          <w:rFonts w:ascii="Times New Roman" w:hAnsi="Times New Roman" w:cs="Times New Roman"/>
          <w:sz w:val="28"/>
          <w:szCs w:val="28"/>
        </w:rPr>
        <w:t>заболеваний и запускает при своём развитии патологические процессы во всём организме, что приводит к системным нарушениям у больных.</w:t>
      </w: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254339">
      <w:p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4339" w:rsidRDefault="00674641">
      <w:p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Внутренние болезни в 2-х томах: учебник / Под ред. Н.А. Мухина, В.С. </w:t>
      </w:r>
      <w:r>
        <w:rPr>
          <w:sz w:val="28"/>
          <w:szCs w:val="28"/>
        </w:rPr>
        <w:t>Моисеева, А.И. Мартынова, 2017 г.  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Громнацкий, Н.И. Внутренние болезни: Учебник для студентов медицинских вузов / Н.И. Громнацкий. - Ереван: МИА, 2014. - 688 c.</w:t>
      </w:r>
      <w:r>
        <w:rPr>
          <w:color w:val="000000"/>
          <w:sz w:val="27"/>
          <w:szCs w:val="27"/>
          <w:shd w:val="clear" w:color="auto" w:fill="D9D9FF"/>
        </w:rPr>
        <w:t xml:space="preserve"> 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Зборовский, А.Б. Внутренние болезни (в таблицах и схемах): Справочник / А.Б. </w:t>
      </w:r>
      <w:r>
        <w:rPr>
          <w:sz w:val="28"/>
          <w:szCs w:val="28"/>
        </w:rPr>
        <w:t>Зборовский, И.А. Зборовская; Под ред. Ф.И. Комаров. - М.: МИА, 2013. - 672 c.</w:t>
      </w:r>
      <w:r>
        <w:rPr>
          <w:sz w:val="28"/>
          <w:szCs w:val="28"/>
        </w:rPr>
        <w:br/>
        <w:t xml:space="preserve"> 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Ивашкин, В.Т. Внутренние болезни / В.Т. Ивашкин. - М.: МЕДпресс-информ, 2014. - 368 c.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Полный медицинский справочник фельдшера. “МедСильвер” Москва Северов О.Н., 2012 г</w:t>
      </w:r>
      <w:r>
        <w:rPr>
          <w:sz w:val="28"/>
          <w:szCs w:val="28"/>
        </w:rPr>
        <w:t xml:space="preserve">. 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Ройтб</w:t>
      </w:r>
      <w:r>
        <w:rPr>
          <w:sz w:val="28"/>
          <w:szCs w:val="28"/>
        </w:rPr>
        <w:t>ерг, Г.Е. Внутренние болезни. Лабораторная и инструментальная диагностика заболеваний внутренних органов / Г.Е. Ройтберг. - М.: МЕДпресс-информ, 2013. - 800 c.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Савин В. О, Все о внутренних болезнях: учебное пособие. Санкт Петербург Протей, 2015 г.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Свиридов Е. Т Внутренние болезни, Москва: “Феникс”, 2018 г</w:t>
      </w:r>
      <w:r>
        <w:rPr>
          <w:sz w:val="28"/>
          <w:szCs w:val="28"/>
        </w:rPr>
        <w:t xml:space="preserve">. 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</w:rPr>
      </w:pPr>
      <w:r>
        <w:rPr>
          <w:rFonts w:ascii="Roboto-Regular" w:hAnsi="Roboto-Regular"/>
          <w:color w:val="000000"/>
          <w:sz w:val="28"/>
          <w:szCs w:val="28"/>
          <w:shd w:val="clear" w:color="auto" w:fill="FFFFFF"/>
        </w:rPr>
        <w:t>Терапия с курсом первичной медико-санитарной помощи. Учебное пособие.” Медицина для вас” Феникс” Ростов На Дону 2013 г.</w:t>
      </w:r>
      <w:r>
        <w:rPr>
          <w:sz w:val="28"/>
          <w:szCs w:val="28"/>
        </w:rPr>
        <w:t> </w:t>
      </w:r>
    </w:p>
    <w:p w:rsidR="00254339" w:rsidRDefault="00674641">
      <w:pPr>
        <w:pStyle w:val="a9"/>
        <w:numPr>
          <w:ilvl w:val="0"/>
          <w:numId w:val="14"/>
        </w:numPr>
        <w:shd w:val="clear" w:color="auto" w:fill="FFFFFF"/>
        <w:spacing w:before="0" w:beforeAutospacing="0" w:after="238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Шамов, И.А. Внутренние болезни: заболевания желудочно-кишечного тракта: У</w:t>
      </w:r>
      <w:r>
        <w:rPr>
          <w:sz w:val="28"/>
          <w:szCs w:val="28"/>
        </w:rPr>
        <w:t>чебное пособие / И.А. Шамов. - М.: Инфра-М, 2018. - 224 c.</w:t>
      </w:r>
    </w:p>
    <w:sectPr w:rsidR="00254339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674641">
      <w:pPr>
        <w:spacing w:before="0" w:after="0" w:line="240" w:lineRule="auto"/>
      </w:pPr>
      <w:r>
        <w:separator/>
      </w:r>
    </w:p>
  </w:endnote>
  <w:endnote w:type="continuationSeparator" w:id="0">
    <w:p w:rsidR="00000000" w:rsidRDefault="0067464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CC"/>
    <w:family w:val="roman"/>
    <w:pitch w:val="default"/>
    <w:sig w:usb0="00000000" w:usb1="C000785B" w:usb2="00000009" w:usb3="00000000" w:csb0="400001FF" w:csb1="FFFF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-Regular">
    <w:altName w:val="Times New Roman"/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05874"/>
    </w:sdtPr>
    <w:sdtEndPr/>
    <w:sdtContent>
      <w:p w:rsidR="00254339" w:rsidRDefault="0067464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54339" w:rsidRDefault="0025433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674641">
      <w:pPr>
        <w:spacing w:before="0" w:after="0" w:line="240" w:lineRule="auto"/>
      </w:pPr>
      <w:r>
        <w:separator/>
      </w:r>
    </w:p>
  </w:footnote>
  <w:footnote w:type="continuationSeparator" w:id="0">
    <w:p w:rsidR="00000000" w:rsidRDefault="0067464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229C5"/>
    <w:multiLevelType w:val="multilevel"/>
    <w:tmpl w:val="0CB229C5"/>
    <w:lvl w:ilvl="0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31584353"/>
    <w:multiLevelType w:val="multilevel"/>
    <w:tmpl w:val="31584353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660157"/>
    <w:multiLevelType w:val="multilevel"/>
    <w:tmpl w:val="37660157"/>
    <w:lvl w:ilvl="0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DAE6FD6"/>
    <w:multiLevelType w:val="multilevel"/>
    <w:tmpl w:val="3DAE6FD6"/>
    <w:lvl w:ilvl="0">
      <w:start w:val="1"/>
      <w:numFmt w:val="decimal"/>
      <w:lvlText w:val="%1."/>
      <w:lvlJc w:val="left"/>
      <w:pPr>
        <w:ind w:left="1931" w:hanging="360"/>
      </w:pPr>
    </w:lvl>
    <w:lvl w:ilvl="1">
      <w:start w:val="1"/>
      <w:numFmt w:val="lowerLetter"/>
      <w:lvlText w:val="%2."/>
      <w:lvlJc w:val="left"/>
      <w:pPr>
        <w:ind w:left="2651" w:hanging="360"/>
      </w:pPr>
    </w:lvl>
    <w:lvl w:ilvl="2">
      <w:start w:val="1"/>
      <w:numFmt w:val="lowerRoman"/>
      <w:lvlText w:val="%3."/>
      <w:lvlJc w:val="right"/>
      <w:pPr>
        <w:ind w:left="3371" w:hanging="180"/>
      </w:pPr>
    </w:lvl>
    <w:lvl w:ilvl="3">
      <w:start w:val="1"/>
      <w:numFmt w:val="decimal"/>
      <w:lvlText w:val="%4."/>
      <w:lvlJc w:val="left"/>
      <w:pPr>
        <w:ind w:left="4091" w:hanging="360"/>
      </w:pPr>
    </w:lvl>
    <w:lvl w:ilvl="4">
      <w:start w:val="1"/>
      <w:numFmt w:val="lowerLetter"/>
      <w:lvlText w:val="%5."/>
      <w:lvlJc w:val="left"/>
      <w:pPr>
        <w:ind w:left="4811" w:hanging="360"/>
      </w:pPr>
    </w:lvl>
    <w:lvl w:ilvl="5">
      <w:start w:val="1"/>
      <w:numFmt w:val="lowerRoman"/>
      <w:lvlText w:val="%6."/>
      <w:lvlJc w:val="right"/>
      <w:pPr>
        <w:ind w:left="5531" w:hanging="180"/>
      </w:pPr>
    </w:lvl>
    <w:lvl w:ilvl="6">
      <w:start w:val="1"/>
      <w:numFmt w:val="decimal"/>
      <w:lvlText w:val="%7."/>
      <w:lvlJc w:val="left"/>
      <w:pPr>
        <w:ind w:left="6251" w:hanging="360"/>
      </w:pPr>
    </w:lvl>
    <w:lvl w:ilvl="7">
      <w:start w:val="1"/>
      <w:numFmt w:val="lowerLetter"/>
      <w:lvlText w:val="%8."/>
      <w:lvlJc w:val="left"/>
      <w:pPr>
        <w:ind w:left="6971" w:hanging="360"/>
      </w:pPr>
    </w:lvl>
    <w:lvl w:ilvl="8">
      <w:start w:val="1"/>
      <w:numFmt w:val="lowerRoman"/>
      <w:lvlText w:val="%9."/>
      <w:lvlJc w:val="right"/>
      <w:pPr>
        <w:ind w:left="7691" w:hanging="180"/>
      </w:pPr>
    </w:lvl>
  </w:abstractNum>
  <w:abstractNum w:abstractNumId="4" w15:restartNumberingAfterBreak="0">
    <w:nsid w:val="4AD1775F"/>
    <w:multiLevelType w:val="multilevel"/>
    <w:tmpl w:val="4AD1775F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E23E4F"/>
    <w:multiLevelType w:val="multilevel"/>
    <w:tmpl w:val="4CE23E4F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39504C"/>
    <w:multiLevelType w:val="multilevel"/>
    <w:tmpl w:val="5139504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532C073A"/>
    <w:multiLevelType w:val="multilevel"/>
    <w:tmpl w:val="532C073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A21113"/>
    <w:multiLevelType w:val="multilevel"/>
    <w:tmpl w:val="5FA211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D6DE5"/>
    <w:multiLevelType w:val="multilevel"/>
    <w:tmpl w:val="770D6D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6496E"/>
    <w:multiLevelType w:val="multilevel"/>
    <w:tmpl w:val="78A6496E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B3A3B96"/>
    <w:multiLevelType w:val="multilevel"/>
    <w:tmpl w:val="7B3A3B9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BFB2F30"/>
    <w:multiLevelType w:val="multilevel"/>
    <w:tmpl w:val="7BFB2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C116C0"/>
    <w:multiLevelType w:val="multilevel"/>
    <w:tmpl w:val="7EC116C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3"/>
  </w:num>
  <w:num w:numId="5">
    <w:abstractNumId w:val="6"/>
  </w:num>
  <w:num w:numId="6">
    <w:abstractNumId w:val="5"/>
  </w:num>
  <w:num w:numId="7">
    <w:abstractNumId w:val="0"/>
  </w:num>
  <w:num w:numId="8">
    <w:abstractNumId w:val="12"/>
  </w:num>
  <w:num w:numId="9">
    <w:abstractNumId w:val="11"/>
  </w:num>
  <w:num w:numId="10">
    <w:abstractNumId w:val="7"/>
  </w:num>
  <w:num w:numId="11">
    <w:abstractNumId w:val="3"/>
  </w:num>
  <w:num w:numId="12">
    <w:abstractNumId w:val="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CC"/>
    <w:rsid w:val="00016170"/>
    <w:rsid w:val="00017779"/>
    <w:rsid w:val="0002192B"/>
    <w:rsid w:val="00032C49"/>
    <w:rsid w:val="00057F0B"/>
    <w:rsid w:val="000613DE"/>
    <w:rsid w:val="00081006"/>
    <w:rsid w:val="000A02D7"/>
    <w:rsid w:val="001245A5"/>
    <w:rsid w:val="0015419A"/>
    <w:rsid w:val="00170F89"/>
    <w:rsid w:val="00181031"/>
    <w:rsid w:val="001A3894"/>
    <w:rsid w:val="001A47E4"/>
    <w:rsid w:val="001B42C3"/>
    <w:rsid w:val="001C727B"/>
    <w:rsid w:val="00201D43"/>
    <w:rsid w:val="00217924"/>
    <w:rsid w:val="00252BF9"/>
    <w:rsid w:val="00254339"/>
    <w:rsid w:val="00281975"/>
    <w:rsid w:val="0029707D"/>
    <w:rsid w:val="00297B08"/>
    <w:rsid w:val="002D3A0B"/>
    <w:rsid w:val="002F0ADD"/>
    <w:rsid w:val="00303435"/>
    <w:rsid w:val="003050A9"/>
    <w:rsid w:val="00355901"/>
    <w:rsid w:val="00364970"/>
    <w:rsid w:val="00380492"/>
    <w:rsid w:val="003931E2"/>
    <w:rsid w:val="003C66DD"/>
    <w:rsid w:val="003F67C4"/>
    <w:rsid w:val="00400173"/>
    <w:rsid w:val="00425AE0"/>
    <w:rsid w:val="004376CD"/>
    <w:rsid w:val="00442625"/>
    <w:rsid w:val="00444923"/>
    <w:rsid w:val="00454922"/>
    <w:rsid w:val="0049153C"/>
    <w:rsid w:val="004972CA"/>
    <w:rsid w:val="004A15D1"/>
    <w:rsid w:val="004C49B3"/>
    <w:rsid w:val="00527672"/>
    <w:rsid w:val="005306DB"/>
    <w:rsid w:val="005444A1"/>
    <w:rsid w:val="00550695"/>
    <w:rsid w:val="00551533"/>
    <w:rsid w:val="00562C2D"/>
    <w:rsid w:val="00571C0A"/>
    <w:rsid w:val="005879B7"/>
    <w:rsid w:val="00596021"/>
    <w:rsid w:val="005968FC"/>
    <w:rsid w:val="005C4E93"/>
    <w:rsid w:val="005F77F8"/>
    <w:rsid w:val="00607977"/>
    <w:rsid w:val="00611E5F"/>
    <w:rsid w:val="00637338"/>
    <w:rsid w:val="00651B84"/>
    <w:rsid w:val="00674641"/>
    <w:rsid w:val="006A1FC1"/>
    <w:rsid w:val="006A2ACC"/>
    <w:rsid w:val="006B0FF7"/>
    <w:rsid w:val="00701624"/>
    <w:rsid w:val="0072502E"/>
    <w:rsid w:val="00745B06"/>
    <w:rsid w:val="00755DEA"/>
    <w:rsid w:val="00760E84"/>
    <w:rsid w:val="00766F40"/>
    <w:rsid w:val="00767C35"/>
    <w:rsid w:val="00782083"/>
    <w:rsid w:val="00796553"/>
    <w:rsid w:val="007C29F7"/>
    <w:rsid w:val="0081123E"/>
    <w:rsid w:val="00830A61"/>
    <w:rsid w:val="00854EE4"/>
    <w:rsid w:val="00887EFE"/>
    <w:rsid w:val="00896EB4"/>
    <w:rsid w:val="008A6F5E"/>
    <w:rsid w:val="008B1B5B"/>
    <w:rsid w:val="008F3EE9"/>
    <w:rsid w:val="00930F6E"/>
    <w:rsid w:val="00996312"/>
    <w:rsid w:val="009A443E"/>
    <w:rsid w:val="009A47B6"/>
    <w:rsid w:val="009B1F65"/>
    <w:rsid w:val="009B5F4A"/>
    <w:rsid w:val="009D201E"/>
    <w:rsid w:val="009D34CC"/>
    <w:rsid w:val="00A413CE"/>
    <w:rsid w:val="00A42A3B"/>
    <w:rsid w:val="00A536B2"/>
    <w:rsid w:val="00A97E1F"/>
    <w:rsid w:val="00AC1C54"/>
    <w:rsid w:val="00AC42E3"/>
    <w:rsid w:val="00AF6188"/>
    <w:rsid w:val="00B102BE"/>
    <w:rsid w:val="00B304C6"/>
    <w:rsid w:val="00B37E82"/>
    <w:rsid w:val="00B41304"/>
    <w:rsid w:val="00B546BF"/>
    <w:rsid w:val="00B64508"/>
    <w:rsid w:val="00B856AE"/>
    <w:rsid w:val="00B957B6"/>
    <w:rsid w:val="00BC136C"/>
    <w:rsid w:val="00BD4F9D"/>
    <w:rsid w:val="00C04C9E"/>
    <w:rsid w:val="00C242C8"/>
    <w:rsid w:val="00C71938"/>
    <w:rsid w:val="00CC5842"/>
    <w:rsid w:val="00CE18F1"/>
    <w:rsid w:val="00CE736F"/>
    <w:rsid w:val="00CF255A"/>
    <w:rsid w:val="00D219EC"/>
    <w:rsid w:val="00D25BBA"/>
    <w:rsid w:val="00D34FEA"/>
    <w:rsid w:val="00D37C4B"/>
    <w:rsid w:val="00D70C83"/>
    <w:rsid w:val="00D7500B"/>
    <w:rsid w:val="00D84AC5"/>
    <w:rsid w:val="00D85A14"/>
    <w:rsid w:val="00D94219"/>
    <w:rsid w:val="00DF030B"/>
    <w:rsid w:val="00DF2ACF"/>
    <w:rsid w:val="00E133EA"/>
    <w:rsid w:val="00E26F2D"/>
    <w:rsid w:val="00E56CB7"/>
    <w:rsid w:val="00E95075"/>
    <w:rsid w:val="00ED1E13"/>
    <w:rsid w:val="00F3152C"/>
    <w:rsid w:val="00F4213E"/>
    <w:rsid w:val="00F460DC"/>
    <w:rsid w:val="00F83160"/>
    <w:rsid w:val="00F96AD1"/>
    <w:rsid w:val="00FA7166"/>
    <w:rsid w:val="00FC2B81"/>
    <w:rsid w:val="02D8312A"/>
    <w:rsid w:val="091225A7"/>
    <w:rsid w:val="158D1373"/>
    <w:rsid w:val="16C83033"/>
    <w:rsid w:val="1B764970"/>
    <w:rsid w:val="1B955698"/>
    <w:rsid w:val="276A3D3D"/>
    <w:rsid w:val="2D873E8F"/>
    <w:rsid w:val="35DE30C8"/>
    <w:rsid w:val="39125DD5"/>
    <w:rsid w:val="502F6DEF"/>
    <w:rsid w:val="51391A13"/>
    <w:rsid w:val="59BD0A3C"/>
    <w:rsid w:val="5C28530C"/>
    <w:rsid w:val="69BB0FA7"/>
    <w:rsid w:val="6EFB0FF3"/>
    <w:rsid w:val="710F0383"/>
    <w:rsid w:val="749B29EB"/>
    <w:rsid w:val="76B72266"/>
    <w:rsid w:val="7C190BA1"/>
    <w:rsid w:val="7CA22C5A"/>
    <w:rsid w:val="7E333C74"/>
    <w:rsid w:val="7E55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 fillcolor="white">
      <v:fill color="white"/>
    </o:shapedefaults>
    <o:shapelayout v:ext="edit">
      <o:idmap v:ext="edit" data="1"/>
    </o:shapelayout>
  </w:shapeDefaults>
  <w:decimalSymbol w:val=","/>
  <w:listSeparator w:val=";"/>
  <w15:docId w15:val="{0A427BD9-F0D6-C940-B246-8AD51B11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 w:line="360" w:lineRule="auto"/>
      <w:ind w:left="1701" w:right="567" w:firstLine="851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before="0"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before="0" w:after="0" w:line="240" w:lineRule="auto"/>
    </w:pPr>
  </w:style>
  <w:style w:type="paragraph" w:styleId="a9">
    <w:name w:val="Normal (Web)"/>
    <w:basedOn w:val="a"/>
    <w:uiPriority w:val="99"/>
    <w:unhideWhenUsed/>
    <w:qFormat/>
    <w:pPr>
      <w:spacing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txt">
    <w:name w:val="txt"/>
    <w:basedOn w:val="a"/>
    <w:pPr>
      <w:spacing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qFormat/>
    <w:pPr>
      <w:spacing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2160</Words>
  <Characters>12312</Characters>
  <Application>Microsoft Office Word</Application>
  <DocSecurity>0</DocSecurity>
  <Lines>102</Lines>
  <Paragraphs>28</Paragraphs>
  <ScaleCrop>false</ScaleCrop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Salohiddin Safoev</cp:lastModifiedBy>
  <cp:revision>2</cp:revision>
  <dcterms:created xsi:type="dcterms:W3CDTF">2020-05-23T19:29:00Z</dcterms:created>
  <dcterms:modified xsi:type="dcterms:W3CDTF">2020-05-23T19:29:00Z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1049-11.2.0.9363</vt:lpwstr>
  </property>
</Properties>
</file>