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BDE" w:rsidRPr="00F67BDE" w:rsidRDefault="00F67BDE" w:rsidP="00F67BDE">
      <w:pPr>
        <w:pStyle w:val="a9"/>
        <w:jc w:val="center"/>
        <w:rPr>
          <w:rFonts w:ascii="Times New Roman" w:hAnsi="Times New Roman"/>
          <w:color w:val="000000" w:themeColor="text1"/>
        </w:rPr>
      </w:pPr>
      <w:r w:rsidRPr="00F67BDE">
        <w:rPr>
          <w:rFonts w:ascii="Times New Roman" w:hAnsi="Times New Roman"/>
          <w:color w:val="000000" w:themeColor="text1"/>
        </w:rPr>
        <w:t>Содержание</w:t>
      </w:r>
    </w:p>
    <w:p w:rsidR="00F67BDE" w:rsidRPr="00F67BDE" w:rsidRDefault="00F67BDE" w:rsidP="00F67BDE">
      <w:pPr>
        <w:rPr>
          <w:lang w:eastAsia="en-US"/>
        </w:rPr>
      </w:pPr>
    </w:p>
    <w:p w:rsidR="006910DF" w:rsidRPr="006910DF" w:rsidRDefault="00E27A0E" w:rsidP="006910DF">
      <w:pPr>
        <w:pStyle w:val="11"/>
        <w:tabs>
          <w:tab w:val="right" w:leader="dot" w:pos="9679"/>
        </w:tabs>
        <w:spacing w:line="360" w:lineRule="auto"/>
        <w:jc w:val="both"/>
        <w:rPr>
          <w:rFonts w:ascii="Times New Roman" w:eastAsiaTheme="minorEastAsia" w:hAnsi="Times New Roman"/>
          <w:noProof/>
          <w:sz w:val="28"/>
          <w:szCs w:val="28"/>
        </w:rPr>
      </w:pPr>
      <w:r w:rsidRPr="00F67BDE">
        <w:rPr>
          <w:rFonts w:ascii="Times New Roman" w:hAnsi="Times New Roman"/>
          <w:sz w:val="28"/>
          <w:szCs w:val="28"/>
        </w:rPr>
        <w:fldChar w:fldCharType="begin"/>
      </w:r>
      <w:r w:rsidR="00F67BDE" w:rsidRPr="00F67BDE">
        <w:rPr>
          <w:rFonts w:ascii="Times New Roman" w:hAnsi="Times New Roman"/>
          <w:sz w:val="28"/>
          <w:szCs w:val="28"/>
        </w:rPr>
        <w:instrText xml:space="preserve"> TOC \o "1-3" \h \z \u </w:instrText>
      </w:r>
      <w:r w:rsidRPr="00F67BDE">
        <w:rPr>
          <w:rFonts w:ascii="Times New Roman" w:hAnsi="Times New Roman"/>
          <w:sz w:val="28"/>
          <w:szCs w:val="28"/>
        </w:rPr>
        <w:fldChar w:fldCharType="separate"/>
      </w:r>
      <w:hyperlink w:anchor="_Toc500695258" w:history="1">
        <w:r w:rsidR="006910DF" w:rsidRPr="006910DF">
          <w:rPr>
            <w:rStyle w:val="aa"/>
            <w:rFonts w:ascii="Times New Roman" w:hAnsi="Times New Roman"/>
            <w:noProof/>
            <w:sz w:val="28"/>
            <w:szCs w:val="28"/>
          </w:rPr>
          <w:t>ВВЕДЕНИЕ</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_Toc500695258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3</w:t>
        </w:r>
        <w:r w:rsidRPr="006910DF">
          <w:rPr>
            <w:rFonts w:ascii="Times New Roman" w:hAnsi="Times New Roman"/>
            <w:noProof/>
            <w:webHidden/>
            <w:sz w:val="28"/>
            <w:szCs w:val="28"/>
          </w:rPr>
          <w:fldChar w:fldCharType="end"/>
        </w:r>
      </w:hyperlink>
    </w:p>
    <w:p w:rsidR="006910DF" w:rsidRPr="006910DF" w:rsidRDefault="00E27A0E" w:rsidP="006910DF">
      <w:pPr>
        <w:pStyle w:val="11"/>
        <w:tabs>
          <w:tab w:val="right" w:leader="dot" w:pos="9679"/>
        </w:tabs>
        <w:spacing w:line="360" w:lineRule="auto"/>
        <w:jc w:val="both"/>
        <w:rPr>
          <w:rFonts w:ascii="Times New Roman" w:eastAsiaTheme="minorEastAsia" w:hAnsi="Times New Roman"/>
          <w:noProof/>
          <w:sz w:val="28"/>
          <w:szCs w:val="28"/>
        </w:rPr>
      </w:pPr>
      <w:hyperlink w:anchor="_Toc500695259" w:history="1">
        <w:r w:rsidR="006910DF" w:rsidRPr="006910DF">
          <w:rPr>
            <w:rStyle w:val="aa"/>
            <w:rFonts w:ascii="Times New Roman" w:hAnsi="Times New Roman"/>
            <w:noProof/>
            <w:kern w:val="1"/>
            <w:sz w:val="28"/>
            <w:szCs w:val="28"/>
          </w:rPr>
          <w:t>ГЛАВА 1 ТЕОРЕТИЧЕСКИЕ ОСНОВЫ БУХГАЛТЕРСКОГО УЧЕТА ВЛОЖЕНИЙ ВО ВНЕОБОРОТНЫЕ АКТИВЫ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_Toc500695259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6</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0" w:history="1">
        <w:r w:rsidR="006910DF" w:rsidRPr="006910DF">
          <w:rPr>
            <w:rStyle w:val="aa"/>
            <w:rFonts w:ascii="Times New Roman" w:hAnsi="Times New Roman"/>
            <w:noProof/>
            <w:kern w:val="1"/>
            <w:sz w:val="28"/>
            <w:szCs w:val="28"/>
          </w:rPr>
          <w:t>1.1 Понятие, виды и оценка вложений во внеоборотные активы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_Toc500695260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6</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1" w:history="1">
        <w:r w:rsidR="006910DF" w:rsidRPr="006910DF">
          <w:rPr>
            <w:rStyle w:val="aa"/>
            <w:rFonts w:ascii="Times New Roman" w:hAnsi="Times New Roman"/>
            <w:noProof/>
            <w:kern w:val="1"/>
            <w:sz w:val="28"/>
            <w:szCs w:val="28"/>
          </w:rPr>
          <w:t>1.2 Общие принципы учета вложений во внеоборотные активы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_Toc500695261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9</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2" w:history="1">
        <w:r w:rsidR="006910DF" w:rsidRPr="006910DF">
          <w:rPr>
            <w:rStyle w:val="aa"/>
            <w:rFonts w:ascii="Times New Roman" w:hAnsi="Times New Roman"/>
            <w:noProof/>
            <w:kern w:val="1"/>
            <w:sz w:val="28"/>
            <w:szCs w:val="28"/>
          </w:rPr>
          <w:t>1.3 Нормативное регулирование учета вложений во внеоборотные активы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_Toc500695262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11</w:t>
        </w:r>
        <w:r w:rsidRPr="006910DF">
          <w:rPr>
            <w:rFonts w:ascii="Times New Roman" w:hAnsi="Times New Roman"/>
            <w:noProof/>
            <w:webHidden/>
            <w:sz w:val="28"/>
            <w:szCs w:val="28"/>
          </w:rPr>
          <w:fldChar w:fldCharType="end"/>
        </w:r>
      </w:hyperlink>
    </w:p>
    <w:p w:rsidR="006910DF" w:rsidRPr="006910DF" w:rsidRDefault="00E27A0E" w:rsidP="006910DF">
      <w:pPr>
        <w:pStyle w:val="11"/>
        <w:tabs>
          <w:tab w:val="right" w:leader="dot" w:pos="9679"/>
        </w:tabs>
        <w:spacing w:line="360" w:lineRule="auto"/>
        <w:jc w:val="both"/>
        <w:rPr>
          <w:rFonts w:ascii="Times New Roman" w:eastAsiaTheme="minorEastAsia" w:hAnsi="Times New Roman"/>
          <w:noProof/>
          <w:sz w:val="28"/>
          <w:szCs w:val="28"/>
        </w:rPr>
      </w:pPr>
      <w:hyperlink w:anchor="_Toc500695263" w:history="1">
        <w:r w:rsidR="006910DF" w:rsidRPr="006910DF">
          <w:rPr>
            <w:rStyle w:val="aa"/>
            <w:rFonts w:ascii="Times New Roman" w:hAnsi="Times New Roman"/>
            <w:noProof/>
            <w:kern w:val="1"/>
            <w:sz w:val="28"/>
            <w:szCs w:val="28"/>
          </w:rPr>
          <w:t>ГЛАВА 2 ОРГАНИЗАЦИЯ БУХГАЛТЕРСКОГО УЧЕТА ВЛОЖЕНИЙ ВО ВНЕОБОРОТНЫЕ АКТИВЫ НА ПРИМЕРЕ  ПАО «ПОРТНЕФТЕСЕРВИС»</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_Toc500695263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17</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4" w:history="1">
        <w:r w:rsidR="006910DF" w:rsidRPr="006910DF">
          <w:rPr>
            <w:rStyle w:val="aa"/>
            <w:rFonts w:ascii="Times New Roman" w:hAnsi="Times New Roman"/>
            <w:noProof/>
            <w:kern w:val="1"/>
            <w:sz w:val="28"/>
            <w:szCs w:val="28"/>
          </w:rPr>
          <w:t>2.1 Организационно – экономическая характеристика  ПАО «Портнефтесервис»</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_Toc500695264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17</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5" w:history="1">
        <w:r w:rsidR="006910DF" w:rsidRPr="006910DF">
          <w:rPr>
            <w:rStyle w:val="aa"/>
            <w:rFonts w:ascii="Times New Roman" w:hAnsi="Times New Roman"/>
            <w:noProof/>
            <w:sz w:val="28"/>
            <w:szCs w:val="28"/>
          </w:rPr>
          <w:t>2.2 Порядок учета вложений во внеоборотные активы в  ПАО «Портнефтесервис»</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_Toc500695265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23</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6" w:history="1">
        <w:r w:rsidR="006910DF" w:rsidRPr="006910DF">
          <w:rPr>
            <w:rStyle w:val="aa"/>
            <w:rFonts w:ascii="Times New Roman" w:hAnsi="Times New Roman"/>
            <w:noProof/>
            <w:kern w:val="1"/>
            <w:sz w:val="28"/>
            <w:szCs w:val="28"/>
          </w:rPr>
          <w:t>2.3 Раскрытие информации о вложениях во внеоборотные активы в бухгалтерской отчетности организации</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_Toc500695266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29</w:t>
        </w:r>
        <w:r w:rsidRPr="006910DF">
          <w:rPr>
            <w:rFonts w:ascii="Times New Roman" w:hAnsi="Times New Roman"/>
            <w:noProof/>
            <w:webHidden/>
            <w:sz w:val="28"/>
            <w:szCs w:val="28"/>
          </w:rPr>
          <w:fldChar w:fldCharType="end"/>
        </w:r>
      </w:hyperlink>
    </w:p>
    <w:p w:rsidR="006910DF" w:rsidRPr="006910DF" w:rsidRDefault="00E27A0E" w:rsidP="006910DF">
      <w:pPr>
        <w:pStyle w:val="21"/>
        <w:tabs>
          <w:tab w:val="right" w:leader="dot" w:pos="9679"/>
        </w:tabs>
        <w:spacing w:line="360" w:lineRule="auto"/>
        <w:jc w:val="both"/>
        <w:rPr>
          <w:rFonts w:ascii="Times New Roman" w:eastAsiaTheme="minorEastAsia" w:hAnsi="Times New Roman"/>
          <w:noProof/>
          <w:sz w:val="28"/>
          <w:szCs w:val="28"/>
        </w:rPr>
      </w:pPr>
      <w:hyperlink w:anchor="_Toc500695267" w:history="1">
        <w:r w:rsidR="006910DF" w:rsidRPr="006910DF">
          <w:rPr>
            <w:rStyle w:val="aa"/>
            <w:rFonts w:ascii="Times New Roman" w:hAnsi="Times New Roman"/>
            <w:noProof/>
            <w:sz w:val="28"/>
            <w:szCs w:val="28"/>
          </w:rPr>
          <w:t>2.4 Использование информационных технологий для учета вложений во внеоборотные активы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_Toc500695267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31</w:t>
        </w:r>
        <w:r w:rsidRPr="006910DF">
          <w:rPr>
            <w:rFonts w:ascii="Times New Roman" w:hAnsi="Times New Roman"/>
            <w:noProof/>
            <w:webHidden/>
            <w:sz w:val="28"/>
            <w:szCs w:val="28"/>
          </w:rPr>
          <w:fldChar w:fldCharType="end"/>
        </w:r>
      </w:hyperlink>
    </w:p>
    <w:p w:rsidR="006910DF" w:rsidRPr="006910DF" w:rsidRDefault="00E27A0E" w:rsidP="006910DF">
      <w:pPr>
        <w:pStyle w:val="11"/>
        <w:tabs>
          <w:tab w:val="right" w:leader="dot" w:pos="9679"/>
        </w:tabs>
        <w:spacing w:line="360" w:lineRule="auto"/>
        <w:jc w:val="both"/>
        <w:rPr>
          <w:rFonts w:ascii="Times New Roman" w:eastAsiaTheme="minorEastAsia" w:hAnsi="Times New Roman"/>
          <w:noProof/>
          <w:sz w:val="28"/>
          <w:szCs w:val="28"/>
        </w:rPr>
      </w:pPr>
      <w:hyperlink w:anchor="_Toc500695268" w:history="1">
        <w:r w:rsidR="006910DF" w:rsidRPr="006910DF">
          <w:rPr>
            <w:rStyle w:val="aa"/>
            <w:rFonts w:ascii="Times New Roman" w:hAnsi="Times New Roman"/>
            <w:noProof/>
            <w:kern w:val="1"/>
            <w:sz w:val="28"/>
            <w:szCs w:val="28"/>
          </w:rPr>
          <w:t>ЗАКЛЮЧЕНИЕ</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_Toc500695268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35</w:t>
        </w:r>
        <w:r w:rsidRPr="006910DF">
          <w:rPr>
            <w:rFonts w:ascii="Times New Roman" w:hAnsi="Times New Roman"/>
            <w:noProof/>
            <w:webHidden/>
            <w:sz w:val="28"/>
            <w:szCs w:val="28"/>
          </w:rPr>
          <w:fldChar w:fldCharType="end"/>
        </w:r>
      </w:hyperlink>
    </w:p>
    <w:p w:rsidR="006910DF" w:rsidRDefault="00E27A0E" w:rsidP="006910DF">
      <w:pPr>
        <w:pStyle w:val="11"/>
        <w:tabs>
          <w:tab w:val="right" w:leader="dot" w:pos="9679"/>
        </w:tabs>
        <w:spacing w:line="360" w:lineRule="auto"/>
        <w:jc w:val="both"/>
        <w:rPr>
          <w:rFonts w:asciiTheme="minorHAnsi" w:eastAsiaTheme="minorEastAsia" w:hAnsiTheme="minorHAnsi" w:cstheme="minorBidi"/>
          <w:noProof/>
        </w:rPr>
      </w:pPr>
      <w:hyperlink w:anchor="_Toc500695269" w:history="1">
        <w:r w:rsidR="006910DF" w:rsidRPr="006910DF">
          <w:rPr>
            <w:rStyle w:val="aa"/>
            <w:rFonts w:ascii="Times New Roman" w:hAnsi="Times New Roman"/>
            <w:noProof/>
            <w:sz w:val="28"/>
            <w:szCs w:val="28"/>
          </w:rPr>
          <w:t>СПИСОК ИСПОЛЬЗОВАННОЙ ЛИТЕРАТУРЫ</w:t>
        </w:r>
        <w:r w:rsidR="006910DF" w:rsidRPr="006910DF">
          <w:rPr>
            <w:rFonts w:ascii="Times New Roman" w:hAnsi="Times New Roman"/>
            <w:noProof/>
            <w:webHidden/>
            <w:sz w:val="28"/>
            <w:szCs w:val="28"/>
          </w:rPr>
          <w:tab/>
        </w:r>
        <w:r w:rsidRPr="006910DF">
          <w:rPr>
            <w:rFonts w:ascii="Times New Roman" w:hAnsi="Times New Roman"/>
            <w:noProof/>
            <w:webHidden/>
            <w:sz w:val="28"/>
            <w:szCs w:val="28"/>
          </w:rPr>
          <w:fldChar w:fldCharType="begin"/>
        </w:r>
        <w:r w:rsidR="006910DF" w:rsidRPr="006910DF">
          <w:rPr>
            <w:rFonts w:ascii="Times New Roman" w:hAnsi="Times New Roman"/>
            <w:noProof/>
            <w:webHidden/>
            <w:sz w:val="28"/>
            <w:szCs w:val="28"/>
          </w:rPr>
          <w:instrText xml:space="preserve"> PAGEREF _Toc500695269 \h </w:instrText>
        </w:r>
        <w:r w:rsidRPr="006910DF">
          <w:rPr>
            <w:rFonts w:ascii="Times New Roman" w:hAnsi="Times New Roman"/>
            <w:noProof/>
            <w:webHidden/>
            <w:sz w:val="28"/>
            <w:szCs w:val="28"/>
          </w:rPr>
        </w:r>
        <w:r w:rsidRPr="006910DF">
          <w:rPr>
            <w:rFonts w:ascii="Times New Roman" w:hAnsi="Times New Roman"/>
            <w:noProof/>
            <w:webHidden/>
            <w:sz w:val="28"/>
            <w:szCs w:val="28"/>
          </w:rPr>
          <w:fldChar w:fldCharType="separate"/>
        </w:r>
        <w:r w:rsidR="006910DF" w:rsidRPr="006910DF">
          <w:rPr>
            <w:rFonts w:ascii="Times New Roman" w:hAnsi="Times New Roman"/>
            <w:noProof/>
            <w:webHidden/>
            <w:sz w:val="28"/>
            <w:szCs w:val="28"/>
          </w:rPr>
          <w:t>37</w:t>
        </w:r>
        <w:r w:rsidRPr="006910DF">
          <w:rPr>
            <w:rFonts w:ascii="Times New Roman" w:hAnsi="Times New Roman"/>
            <w:noProof/>
            <w:webHidden/>
            <w:sz w:val="28"/>
            <w:szCs w:val="28"/>
          </w:rPr>
          <w:fldChar w:fldCharType="end"/>
        </w:r>
      </w:hyperlink>
    </w:p>
    <w:p w:rsidR="00F67BDE" w:rsidRDefault="00E27A0E" w:rsidP="00F67BDE">
      <w:pPr>
        <w:spacing w:line="360" w:lineRule="auto"/>
        <w:jc w:val="both"/>
      </w:pPr>
      <w:r w:rsidRPr="00F67BDE">
        <w:rPr>
          <w:rFonts w:ascii="Times New Roman" w:hAnsi="Times New Roman"/>
          <w:sz w:val="28"/>
          <w:szCs w:val="28"/>
        </w:rPr>
        <w:fldChar w:fldCharType="end"/>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 xml:space="preserve"> </w:t>
      </w:r>
    </w:p>
    <w:p w:rsidR="00AD2A8F" w:rsidRPr="00AD2A8F" w:rsidRDefault="00AD2A8F" w:rsidP="006910DF">
      <w:pPr>
        <w:pStyle w:val="1"/>
      </w:pPr>
      <w:bookmarkStart w:id="0" w:name="_Toc500695258"/>
      <w:r w:rsidRPr="00AD2A8F">
        <w:t>ВВЕДЕНИЕ</w:t>
      </w:r>
      <w:bookmarkEnd w:id="0"/>
    </w:p>
    <w:p w:rsidR="00AD2A8F" w:rsidRPr="00705425" w:rsidRDefault="00AD2A8F" w:rsidP="00AD2A8F"/>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Современная экономическая ситуация сложившаяся в нашей стране, требует от специалистов рассмотрения перспектив будущего развития как на макро, так и на микроэкономическом уровне, на уровне конкретных предприятий. Для этого необходимы долгосрочные инвестиции.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условиях современной рыночной экономики необходимо постоянно совершенствовать и расширять производство, вкладывать средства в научно-исследовательские разработки, приобретать земельные участки и другие объекты природопользования, в связи с чем, повышается роль учета и контроля за рациональным использованием всех ресурсов, в том числе и внеоборотных активов. Известно, что для экономического роста или расширения деятельности на уровне хозяйствующего субъекта нужны определенные минимально необходимые условия. Одним из этих условий является наличие более или менее современных производственных мощностей. В этих условиях особенно актуальным становится вопрос о модернизации и расширении номенклатуры этих ресурсов. Проблемы планирования, учета и рассмотрение целесообразности вложений в эти ресурсы также приобретает особую актуальность. Учет вложения в основные средства, то есть долгосрочные инвестиции и является предметом настоящей работы.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Под вложениями во внеоборотные активы понимаются затраты на создание объектов основных средств, увеличение их размеров, связанные с капитальным строительством новых объектов, реконструкцией, расширением и техническим перевооружением действующих предприятий, а также с приобретением зданий, сооружений, оборудования, транспортных средств и других отдельных объектов или их частей.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Целью данной курсовой работы является подробное рассмотрение такого сложного понятия в бухгалтерском учете, как «долгосрочные инвестиции», а именно - учет вложений во внеоборотные активы.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Для того чтобы достичь цели курсовой работы, необходимо решить следующие задачи, которые мы будем решать в двух главах. Ведь данная курсовая работа состоит из двух частей.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теоретической части необходимо рассмотреть сущность и классификацию долгосрочных инвестиций, нормативные документы, регулирующие их учет, источники их финансирования, а также документальное оформление долгосрочных инвестиций.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Во второй главе курсовой работы для детального раскрытия учета вложений во внеоборотные активы рассмотрены: организация учета строительных работ, выполненных хозяйственным способом; порядок учета расчетов с подрядчиками по выполненным долгосрочным инвестициям; учет кредитов и займов, полученных для осуществления строительных работ.</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Объект исследования: учет вложений во внеоборотные активы  ПАО «Портнефтесервис». Предмет исследования: методика учета вложений во внеоборотные активы.</w:t>
      </w:r>
    </w:p>
    <w:p w:rsidR="00AD2A8F" w:rsidRDefault="000F2278"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Теоретической </w:t>
      </w:r>
      <w:r w:rsidR="00AD2A8F">
        <w:rPr>
          <w:rFonts w:ascii="Times New Roman CYR" w:hAnsi="Times New Roman CYR" w:cs="Times New Roman CYR"/>
          <w:kern w:val="1"/>
          <w:sz w:val="28"/>
          <w:szCs w:val="28"/>
        </w:rPr>
        <w:t>базой исследования послужили учебные пособия и учебники российских авторов; материалы интернет-</w:t>
      </w:r>
      <w:r>
        <w:rPr>
          <w:rFonts w:ascii="Times New Roman CYR" w:hAnsi="Times New Roman CYR" w:cs="Times New Roman CYR"/>
          <w:kern w:val="1"/>
          <w:sz w:val="28"/>
          <w:szCs w:val="28"/>
        </w:rPr>
        <w:t xml:space="preserve"> </w:t>
      </w:r>
      <w:r w:rsidR="00AD2A8F">
        <w:rPr>
          <w:rFonts w:ascii="Times New Roman CYR" w:hAnsi="Times New Roman CYR" w:cs="Times New Roman CYR"/>
          <w:kern w:val="1"/>
          <w:sz w:val="28"/>
          <w:szCs w:val="28"/>
        </w:rPr>
        <w:t xml:space="preserve">ресурсов: </w:t>
      </w:r>
      <w:r>
        <w:rPr>
          <w:rFonts w:ascii="Times New Roman CYR" w:hAnsi="Times New Roman CYR" w:cs="Times New Roman CYR"/>
          <w:kern w:val="1"/>
          <w:sz w:val="28"/>
          <w:szCs w:val="28"/>
        </w:rPr>
        <w:t>законодательство РФ</w:t>
      </w:r>
      <w:r w:rsidR="00AD2A8F">
        <w:rPr>
          <w:rFonts w:ascii="Times New Roman CYR" w:hAnsi="Times New Roman CYR" w:cs="Times New Roman CYR"/>
          <w:kern w:val="1"/>
          <w:sz w:val="28"/>
          <w:szCs w:val="28"/>
        </w:rPr>
        <w:t>, Положения о бухгалтерском учете, действующий план счетов, бухгалтерская (финансовая) отчетность и другая документация  ПАО «Портнефтесервис».</w:t>
      </w:r>
    </w:p>
    <w:p w:rsidR="000F2278" w:rsidRPr="005E4206" w:rsidRDefault="000F2278" w:rsidP="000F2278">
      <w:pPr>
        <w:widowControl w:val="0"/>
        <w:spacing w:after="0" w:line="360" w:lineRule="auto"/>
        <w:ind w:firstLine="709"/>
        <w:jc w:val="both"/>
        <w:rPr>
          <w:rFonts w:ascii="Times New Roman" w:hAnsi="Times New Roman"/>
          <w:sz w:val="28"/>
          <w:szCs w:val="28"/>
        </w:rPr>
      </w:pPr>
      <w:r w:rsidRPr="005E4206">
        <w:rPr>
          <w:rFonts w:ascii="Times New Roman" w:hAnsi="Times New Roman"/>
          <w:bCs/>
          <w:sz w:val="28"/>
          <w:szCs w:val="28"/>
        </w:rPr>
        <w:t>Методами исследования</w:t>
      </w:r>
      <w:r w:rsidRPr="005E4206">
        <w:rPr>
          <w:rFonts w:ascii="Times New Roman" w:hAnsi="Times New Roman"/>
          <w:sz w:val="28"/>
          <w:szCs w:val="28"/>
        </w:rPr>
        <w:t>, используемыми в</w:t>
      </w:r>
      <w:r>
        <w:rPr>
          <w:rFonts w:ascii="Times New Roman" w:hAnsi="Times New Roman"/>
          <w:sz w:val="28"/>
          <w:szCs w:val="28"/>
        </w:rPr>
        <w:t xml:space="preserve"> </w:t>
      </w:r>
      <w:r w:rsidRPr="005E4206">
        <w:rPr>
          <w:rFonts w:ascii="Times New Roman" w:hAnsi="Times New Roman"/>
          <w:sz w:val="28"/>
          <w:szCs w:val="28"/>
        </w:rPr>
        <w:t>курсовой работе, являются:</w:t>
      </w:r>
    </w:p>
    <w:p w:rsidR="000F2278" w:rsidRPr="005E4206" w:rsidRDefault="000F2278" w:rsidP="000F2278">
      <w:pPr>
        <w:widowControl w:val="0"/>
        <w:spacing w:after="0" w:line="360" w:lineRule="auto"/>
        <w:ind w:firstLine="709"/>
        <w:jc w:val="both"/>
        <w:rPr>
          <w:rFonts w:ascii="Times New Roman" w:hAnsi="Times New Roman"/>
          <w:sz w:val="28"/>
          <w:szCs w:val="28"/>
        </w:rPr>
      </w:pPr>
      <w:r w:rsidRPr="005E4206">
        <w:rPr>
          <w:rFonts w:ascii="Times New Roman" w:hAnsi="Times New Roman"/>
          <w:sz w:val="28"/>
          <w:szCs w:val="28"/>
        </w:rPr>
        <w:t>- монографический;</w:t>
      </w:r>
    </w:p>
    <w:p w:rsidR="000F2278" w:rsidRPr="005E4206" w:rsidRDefault="000F2278" w:rsidP="000F2278">
      <w:pPr>
        <w:widowControl w:val="0"/>
        <w:spacing w:after="0" w:line="360" w:lineRule="auto"/>
        <w:ind w:firstLine="709"/>
        <w:jc w:val="both"/>
        <w:rPr>
          <w:rFonts w:ascii="Times New Roman" w:hAnsi="Times New Roman"/>
          <w:sz w:val="28"/>
          <w:szCs w:val="28"/>
        </w:rPr>
      </w:pPr>
      <w:r w:rsidRPr="005E4206">
        <w:rPr>
          <w:rFonts w:ascii="Times New Roman" w:hAnsi="Times New Roman"/>
          <w:sz w:val="28"/>
          <w:szCs w:val="28"/>
        </w:rPr>
        <w:t>- выборочный;</w:t>
      </w:r>
    </w:p>
    <w:p w:rsidR="000F2278" w:rsidRPr="000F2278" w:rsidRDefault="000F2278" w:rsidP="000F2278">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графический.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Структура работы состоит из введения, в котором содержится короткое и конкретное описание основных элементов курсовой работы. Первая глава является теоретико-методологической, в которой показана социально -экономическая природа исследуемого вопроса, сущность проблемы с точки зрения взаимосвязи с другими экономическими процессами и явлениями. Во второй главе рассматривается действующая практика организации учета вложений во внеоборотные активы  на предприятии  ПАО «Портнефтесервис». В заключении описывается логика проведенного исследования и представляются его основные результаты.</w:t>
      </w:r>
    </w:p>
    <w:p w:rsidR="00AD2A8F" w:rsidRDefault="00AD2A8F" w:rsidP="00AD2A8F">
      <w:pPr>
        <w:pStyle w:val="1"/>
        <w:rPr>
          <w:kern w:val="1"/>
        </w:rPr>
      </w:pPr>
      <w:r>
        <w:rPr>
          <w:kern w:val="1"/>
        </w:rPr>
        <w:br w:type="page"/>
      </w:r>
      <w:bookmarkStart w:id="1" w:name="_Toc500695259"/>
      <w:r>
        <w:rPr>
          <w:kern w:val="1"/>
        </w:rPr>
        <w:lastRenderedPageBreak/>
        <w:t>ГЛАВА 1 ТЕОРЕТИЧЕСКИЕ ОСНОВЫ БУХГАЛТЕРСКОГО УЧЕТА ВЛОЖЕНИЙ ВО ВНЕОБОРОТНЫЕ АКТИВЫ</w:t>
      </w:r>
      <w:bookmarkEnd w:id="1"/>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pStyle w:val="2"/>
        <w:rPr>
          <w:kern w:val="1"/>
        </w:rPr>
      </w:pPr>
      <w:bookmarkStart w:id="2" w:name="_Toc500695260"/>
      <w:r>
        <w:rPr>
          <w:kern w:val="1"/>
        </w:rPr>
        <w:t>1.1 Понятие, виды и оценка вложений во внеоборотные активы</w:t>
      </w:r>
      <w:bookmarkEnd w:id="2"/>
      <w:r>
        <w:rPr>
          <w:kern w:val="1"/>
        </w:rPr>
        <w:t xml:space="preserve">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 внеоборотным активам относят: основные с</w:t>
      </w:r>
      <w:r w:rsidR="00B53C0F">
        <w:rPr>
          <w:rFonts w:ascii="Times New Roman CYR" w:hAnsi="Times New Roman CYR" w:cs="Times New Roman CYR"/>
          <w:kern w:val="1"/>
          <w:sz w:val="28"/>
          <w:szCs w:val="28"/>
        </w:rPr>
        <w:t>редства, нематериальные активы</w:t>
      </w:r>
      <w:r>
        <w:rPr>
          <w:rFonts w:ascii="Times New Roman CYR" w:hAnsi="Times New Roman CYR" w:cs="Times New Roman CYR"/>
          <w:kern w:val="1"/>
          <w:sz w:val="28"/>
          <w:szCs w:val="28"/>
        </w:rPr>
        <w:t>,</w:t>
      </w:r>
      <w:r w:rsidR="00B53C0F">
        <w:rPr>
          <w:rFonts w:ascii="Times New Roman CYR" w:hAnsi="Times New Roman CYR" w:cs="Times New Roman CYR"/>
          <w:kern w:val="1"/>
          <w:sz w:val="28"/>
          <w:szCs w:val="28"/>
        </w:rPr>
        <w:t xml:space="preserve"> долгосрочные финансовые вложения, </w:t>
      </w:r>
      <w:r>
        <w:rPr>
          <w:rFonts w:ascii="Times New Roman CYR" w:hAnsi="Times New Roman CYR" w:cs="Times New Roman CYR"/>
          <w:kern w:val="1"/>
          <w:sz w:val="28"/>
          <w:szCs w:val="28"/>
        </w:rPr>
        <w:t xml:space="preserve">затраты по формированию основного стада, стоимость оборудования, требующего монтажа и предназначенного для установки.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 активной части внеоборотных активов относятся машины, оборудование, транспортные средства, непосредственно участвующие в переработке, преобразовании и перемещении предметов труда. Активная часть внеоборотных активов наиболее подвижна и динамична, в наибольшей степени подвержена влиянию научно-технического прогресса.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 пассивной части внеоборотных активов относятся здания и сооружения, от наличия, состава и состояния которых зависят условия труда, функционирование машин и оборудования.</w:t>
      </w:r>
    </w:p>
    <w:p w:rsidR="00AD2A8F" w:rsidRPr="00F67BDE"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Вложения во внеоборотные активы представляют собой долгосрочные инвестиции.</w:t>
      </w:r>
      <w:r w:rsidR="00F67BDE" w:rsidRPr="00F67BDE">
        <w:rPr>
          <w:rFonts w:ascii="Times New Roman CYR" w:hAnsi="Times New Roman CYR" w:cs="Times New Roman CYR"/>
          <w:kern w:val="1"/>
          <w:sz w:val="28"/>
          <w:szCs w:val="28"/>
        </w:rPr>
        <w:t>[</w:t>
      </w:r>
      <w:r w:rsidR="00F67BDE">
        <w:rPr>
          <w:rFonts w:ascii="Times New Roman CYR" w:hAnsi="Times New Roman CYR" w:cs="Times New Roman CYR"/>
          <w:kern w:val="1"/>
          <w:sz w:val="28"/>
          <w:szCs w:val="28"/>
        </w:rPr>
        <w:t>4, с. 154</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Под расширением действующих организаций понимается строительство дополнительных производств в действующей организации, а также строительство новых и расширение существующих отдельных цехов и объектов основного, подсобного и обслуживающего назначения на территории действующих организаций. К расширению действующих организаций относится также строительство филиалов, входящих в их состав, которые после ввода в эксплуатацию не будут находиться на самостоятельном балансе.</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5, с. 174</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Реконструкция действующих организаций рассматривается как переустройство существующих цехов и объектов основного, подсобного и обслуживающего назначения, как правило, без расширения имеющихся зданий и сооружений, связанное с совершенствованием производства и повышением его технико-экономического уровня в целях увеличения производственных мощностей, улучшения качества и изменения номенклатуры продукции.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Под техническим перевооружением действующих организаций понимается комплекс мероприятий по повышению технико-экономического уровня отдельных производств, цехов, участков на основе внедрения передовой техники и технологии, автоматизации производства, модернизации и замены устаревшего и физически изношенного оборудования новым, более производительным.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Организация строительства объектов, контроль за его ходом и ведение бухгалтерского учета производимых при этом затрат осуществляется застройщиками. Под застройщиками понимаются предприятия, специализирующиеся на организации капитального строительства, дирекции строящихся предприятий, а также действующие предприятия, осуществляющие капитальные вложения.</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8, с. 76</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Законченные долгосрочные инвестиции оценивают исходя из инвентарной стоимости законченных строительных объектов и приобретенных отдельных видов основных средств и других долгосрочных активов. В балансе долгосрочные инвестиции отражаются по статье «Незавершенное строительство». По этой статье застройщик показывает стоимость незаконченного строительства, осуществляемого хозяйственным и подрядным способами.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В практике учета капитальных вложений их стоимость формируется через принятие к учету затрат на их приобретение. Поэтому, стоимость инвестиций во </w:t>
      </w:r>
      <w:r>
        <w:rPr>
          <w:rFonts w:ascii="Times New Roman CYR" w:hAnsi="Times New Roman CYR" w:cs="Times New Roman CYR"/>
          <w:kern w:val="1"/>
          <w:sz w:val="28"/>
          <w:szCs w:val="28"/>
        </w:rPr>
        <w:lastRenderedPageBreak/>
        <w:t>внеоборотные активы представляет собой сумму материальных, трудовых средств и иных затрат необходимых для создания объекта инвестирования или завершение его создания на каком либо этапе развития (частично готовым к введению в действие, завершение строительства первой очереди и т.д.). Разделение затрат на материальные (материалы, товары, топливо, энергия и т.д.), трудовые (заработная плата рабочих занятых в создании объекта или обслуживаемых его производство в любой форме), затраты на амортизацию оборудования применяемого для создания объекта, социальные затраты, то есть отчисления в социальные фонды, и прочие затраты (консультационные услуги и т.д.). Номенклатура расходов зависит от способа капитальных вложений. Так, например, при подрядном способе инвестирования стоимости объекта не бывает трудовых затрат и затрат на амортизацию.</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Основными задачами учета долгосрочных инвестиций являются:</w:t>
      </w:r>
    </w:p>
    <w:p w:rsidR="00AD2A8F" w:rsidRDefault="00AD2A8F" w:rsidP="00AD2A8F">
      <w:pPr>
        <w:widowControl w:val="0"/>
        <w:numPr>
          <w:ilvl w:val="0"/>
          <w:numId w:val="3"/>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своевременное, полное и достоверное отражение всех произведенных расходов при строительстве объектов по их видам и учитываемым объектам;</w:t>
      </w:r>
    </w:p>
    <w:p w:rsidR="00AD2A8F" w:rsidRDefault="00AD2A8F" w:rsidP="00AD2A8F">
      <w:pPr>
        <w:widowControl w:val="0"/>
        <w:numPr>
          <w:ilvl w:val="0"/>
          <w:numId w:val="3"/>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обеспечение контроля за ходом выполнения строительства, вводом в действие производственных мощностей и объектов основных средств;</w:t>
      </w:r>
    </w:p>
    <w:p w:rsidR="00AD2A8F" w:rsidRDefault="00AD2A8F" w:rsidP="00AD2A8F">
      <w:pPr>
        <w:widowControl w:val="0"/>
        <w:numPr>
          <w:ilvl w:val="0"/>
          <w:numId w:val="3"/>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правильное определение и отражение инвентарной стоимости вводимых в действие и приобретенных объектов основных средств, земельных участков, объектов природопользования и нематериальных активов;</w:t>
      </w:r>
    </w:p>
    <w:p w:rsidR="00AD2A8F" w:rsidRDefault="00AD2A8F" w:rsidP="00AD2A8F">
      <w:pPr>
        <w:widowControl w:val="0"/>
        <w:numPr>
          <w:ilvl w:val="0"/>
          <w:numId w:val="3"/>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осуществление контроля за наличием и использованием источников финансирования долгосрочных инвестиций.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По затратам, связанным со строительством и приобретением основных средств, аналитический учет ведется по каждому строящемуся или </w:t>
      </w:r>
      <w:r>
        <w:rPr>
          <w:rFonts w:ascii="Times New Roman CYR" w:hAnsi="Times New Roman CYR" w:cs="Times New Roman CYR"/>
          <w:kern w:val="1"/>
          <w:sz w:val="28"/>
          <w:szCs w:val="28"/>
        </w:rPr>
        <w:lastRenderedPageBreak/>
        <w:t>приобретаемому объекту основных средств.</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7, с. 274</w:t>
      </w:r>
      <w:r w:rsidR="00F67BDE" w:rsidRPr="00F67BDE">
        <w:rPr>
          <w:rFonts w:ascii="Times New Roman CYR" w:hAnsi="Times New Roman CYR" w:cs="Times New Roman CYR"/>
          <w:kern w:val="1"/>
          <w:sz w:val="28"/>
          <w:szCs w:val="28"/>
        </w:rPr>
        <w:t>]</w:t>
      </w:r>
      <w:r>
        <w:rPr>
          <w:rFonts w:ascii="Times New Roman CYR" w:hAnsi="Times New Roman CYR" w:cs="Times New Roman CYR"/>
          <w:kern w:val="1"/>
          <w:sz w:val="28"/>
          <w:szCs w:val="28"/>
        </w:rPr>
        <w:t xml:space="preserve"> При этом построение аналитического учета должно обеспечить возможность получения данных о затратах на:</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строительные работы и реконструкцию;</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буровые работы;</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монтаж оборудования;</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оборудование, требующее монтажа;</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оборудование, не требующее монтажа, а также на инструменты и инвентарь, предусмотренные сметами на капитальное строительство;</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проектно-изыскательские работы;</w:t>
      </w:r>
    </w:p>
    <w:p w:rsidR="00AD2A8F" w:rsidRDefault="00AD2A8F" w:rsidP="00AD2A8F">
      <w:pPr>
        <w:widowControl w:val="0"/>
        <w:numPr>
          <w:ilvl w:val="0"/>
          <w:numId w:val="2"/>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прочие затраты по капитальным вложениям.</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AD2A8F" w:rsidRDefault="00AD2A8F" w:rsidP="00377B40">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 форме долгосрочные инвестиции делятся на: новое строительство, реконструкцию, расширение, техническое перевооружение, поддержание мощностей действующих производств и объектов непроизводственной сферы.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pStyle w:val="2"/>
        <w:rPr>
          <w:kern w:val="1"/>
        </w:rPr>
      </w:pPr>
      <w:bookmarkStart w:id="3" w:name="_Toc500695261"/>
      <w:r>
        <w:rPr>
          <w:kern w:val="1"/>
        </w:rPr>
        <w:t xml:space="preserve">1.2 </w:t>
      </w:r>
      <w:r w:rsidRPr="00FE2DD0">
        <w:rPr>
          <w:kern w:val="1"/>
        </w:rPr>
        <w:t>Общие принципы учета вложений во внеоборотные активы</w:t>
      </w:r>
      <w:bookmarkEnd w:id="3"/>
    </w:p>
    <w:p w:rsidR="00AD2A8F" w:rsidRPr="00FF472A" w:rsidRDefault="00AD2A8F" w:rsidP="00AD2A8F"/>
    <w:p w:rsidR="00AD2A8F" w:rsidRDefault="00AD2A8F" w:rsidP="00AD2A8F">
      <w:pPr>
        <w:spacing w:after="0" w:line="360" w:lineRule="auto"/>
        <w:ind w:firstLine="709"/>
        <w:rPr>
          <w:rFonts w:ascii="Times New Roman" w:hAnsi="Times New Roman"/>
          <w:sz w:val="28"/>
          <w:szCs w:val="28"/>
        </w:rPr>
      </w:pPr>
      <w:r w:rsidRPr="00FE2DD0">
        <w:rPr>
          <w:rFonts w:ascii="Times New Roman" w:hAnsi="Times New Roman"/>
          <w:sz w:val="28"/>
          <w:szCs w:val="28"/>
        </w:rPr>
        <w:t>Бухгалтерский учет вложений во внеоборотные активы ведется для получения документально обоснованной информации обо всех произведенных расходов на создание (приобретение) основных средств, нематериальных активов и затрат, связанных с выполнением научно-исследовательских, опытно-конструкторских и технологических работ.</w:t>
      </w:r>
      <w:r>
        <w:rPr>
          <w:rFonts w:ascii="Times New Roman" w:hAnsi="Times New Roman"/>
          <w:sz w:val="28"/>
          <w:szCs w:val="28"/>
        </w:rPr>
        <w:t xml:space="preserve"> </w:t>
      </w:r>
      <w:r w:rsidRPr="00FE2DD0">
        <w:rPr>
          <w:rFonts w:ascii="Times New Roman" w:hAnsi="Times New Roman"/>
          <w:sz w:val="28"/>
          <w:szCs w:val="28"/>
        </w:rPr>
        <w:t>Цели учета вложений во внеоборотные а</w:t>
      </w:r>
      <w:r>
        <w:rPr>
          <w:rFonts w:ascii="Times New Roman" w:hAnsi="Times New Roman"/>
          <w:sz w:val="28"/>
          <w:szCs w:val="28"/>
        </w:rPr>
        <w:t>ктивы представлены на рис. 1.</w:t>
      </w:r>
    </w:p>
    <w:p w:rsidR="00AD2A8F" w:rsidRPr="00FF472A" w:rsidRDefault="00AD2A8F" w:rsidP="00AD2A8F">
      <w:pPr>
        <w:spacing w:after="0" w:line="360" w:lineRule="auto"/>
        <w:ind w:firstLine="709"/>
        <w:rPr>
          <w:rFonts w:ascii="Times New Roman" w:hAnsi="Times New Roman"/>
          <w:sz w:val="28"/>
          <w:szCs w:val="28"/>
        </w:rPr>
      </w:pPr>
      <w:r w:rsidRPr="00FE2DD0">
        <w:rPr>
          <w:rFonts w:ascii="Times New Roman" w:hAnsi="Times New Roman"/>
          <w:sz w:val="28"/>
          <w:szCs w:val="28"/>
        </w:rPr>
        <w:lastRenderedPageBreak/>
        <w:t>Учет долгосрочных инвестиций ведется по фактическим расходам: в целом по строительству и по отдельным объектам (зданию, сооружению и др.), входящим в него; по приобретаемым отдельным объектам основных средств, земельным участкам, объектам природопользования и нематериальным активам. </w:t>
      </w:r>
      <w:r w:rsidRPr="00FE2DD0">
        <w:rPr>
          <w:rFonts w:ascii="Times New Roman" w:hAnsi="Times New Roman"/>
          <w:sz w:val="28"/>
          <w:szCs w:val="28"/>
        </w:rPr>
        <w:br/>
      </w:r>
      <w:r w:rsidR="0048412A">
        <w:rPr>
          <w:rFonts w:ascii="Times New Roman" w:hAnsi="Times New Roman"/>
          <w:noProof/>
          <w:sz w:val="24"/>
          <w:szCs w:val="24"/>
        </w:rPr>
        <w:drawing>
          <wp:inline distT="0" distB="0" distL="0" distR="0">
            <wp:extent cx="3219450" cy="1504950"/>
            <wp:effectExtent l="19050" t="0" r="0" b="0"/>
            <wp:docPr id="16" name="Рисунок 16" descr="Рис. 1.1. Цели учета вложений во внеоборотные акти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ис. 1.1. Цели учета вложений во внеоборотные активы"/>
                    <pic:cNvPicPr>
                      <a:picLocks noChangeAspect="1" noChangeArrowheads="1"/>
                    </pic:cNvPicPr>
                  </pic:nvPicPr>
                  <pic:blipFill>
                    <a:blip r:embed="rId8"/>
                    <a:srcRect/>
                    <a:stretch>
                      <a:fillRect/>
                    </a:stretch>
                  </pic:blipFill>
                  <pic:spPr bwMode="auto">
                    <a:xfrm>
                      <a:off x="0" y="0"/>
                      <a:ext cx="3219450" cy="1504950"/>
                    </a:xfrm>
                    <a:prstGeom prst="rect">
                      <a:avLst/>
                    </a:prstGeom>
                    <a:noFill/>
                    <a:ln w="9525">
                      <a:noFill/>
                      <a:miter lim="800000"/>
                      <a:headEnd/>
                      <a:tailEnd/>
                    </a:ln>
                  </pic:spPr>
                </pic:pic>
              </a:graphicData>
            </a:graphic>
          </wp:inline>
        </w:drawing>
      </w:r>
      <w:r>
        <w:rPr>
          <w:rFonts w:ascii="Arial" w:hAnsi="Arial" w:cs="Arial"/>
          <w:sz w:val="24"/>
          <w:szCs w:val="24"/>
        </w:rPr>
        <w:t> </w:t>
      </w:r>
      <w:r>
        <w:rPr>
          <w:rFonts w:ascii="Arial" w:hAnsi="Arial" w:cs="Arial"/>
          <w:sz w:val="24"/>
          <w:szCs w:val="24"/>
        </w:rPr>
        <w:br/>
        <w:t>Рис. 1.</w:t>
      </w:r>
      <w:r w:rsidRPr="00FE2DD0">
        <w:rPr>
          <w:rFonts w:ascii="Arial" w:hAnsi="Arial" w:cs="Arial"/>
          <w:sz w:val="24"/>
          <w:szCs w:val="24"/>
        </w:rPr>
        <w:t xml:space="preserve"> Цели учета вложений во внеоборотные активы </w:t>
      </w:r>
      <w:r w:rsidRPr="00FE2DD0">
        <w:rPr>
          <w:rFonts w:ascii="Arial" w:hAnsi="Arial" w:cs="Arial"/>
          <w:sz w:val="24"/>
          <w:szCs w:val="24"/>
        </w:rPr>
        <w:br w:type="textWrapping" w:clear="all"/>
      </w:r>
    </w:p>
    <w:p w:rsidR="00AD2A8F" w:rsidRDefault="00AD2A8F" w:rsidP="00AD2A8F">
      <w:pPr>
        <w:spacing w:after="0" w:line="360" w:lineRule="auto"/>
        <w:ind w:firstLine="709"/>
        <w:jc w:val="both"/>
        <w:rPr>
          <w:rFonts w:ascii="Times New Roman" w:hAnsi="Times New Roman"/>
          <w:sz w:val="28"/>
          <w:szCs w:val="28"/>
        </w:rPr>
      </w:pPr>
      <w:r w:rsidRPr="00FE2DD0">
        <w:rPr>
          <w:rFonts w:ascii="Times New Roman" w:hAnsi="Times New Roman"/>
          <w:sz w:val="28"/>
          <w:szCs w:val="28"/>
        </w:rPr>
        <w:t>При строительстве объектов застройщик ведет учет затрат нарастающим итогом с начала строительства, в разрезе отчетных периодов до ввода объектов в действие или полного производства с</w:t>
      </w:r>
      <w:r>
        <w:rPr>
          <w:rFonts w:ascii="Times New Roman" w:hAnsi="Times New Roman"/>
          <w:sz w:val="28"/>
          <w:szCs w:val="28"/>
        </w:rPr>
        <w:t>оответствующих работ и затрат. </w:t>
      </w:r>
      <w:r w:rsidRPr="00FE2DD0">
        <w:rPr>
          <w:rFonts w:ascii="Times New Roman" w:hAnsi="Times New Roman"/>
          <w:sz w:val="28"/>
          <w:szCs w:val="28"/>
        </w:rPr>
        <w:t>Наряду с учетом затрат по фактической стоимости застройщик независимо от способа производства строительных работ ведет учет произведенных капитальных вло</w:t>
      </w:r>
      <w:r>
        <w:rPr>
          <w:rFonts w:ascii="Times New Roman" w:hAnsi="Times New Roman"/>
          <w:sz w:val="28"/>
          <w:szCs w:val="28"/>
        </w:rPr>
        <w:t>жений по договорной стоимости. </w:t>
      </w:r>
    </w:p>
    <w:p w:rsidR="00AD2A8F" w:rsidRDefault="00AD2A8F" w:rsidP="00AD2A8F">
      <w:pPr>
        <w:spacing w:after="0" w:line="360" w:lineRule="auto"/>
        <w:ind w:firstLine="709"/>
        <w:jc w:val="both"/>
        <w:rPr>
          <w:rFonts w:ascii="Times New Roman" w:hAnsi="Times New Roman"/>
          <w:sz w:val="28"/>
          <w:szCs w:val="28"/>
        </w:rPr>
      </w:pPr>
      <w:r w:rsidRPr="00FE2DD0">
        <w:rPr>
          <w:rFonts w:ascii="Times New Roman" w:hAnsi="Times New Roman"/>
          <w:sz w:val="28"/>
          <w:szCs w:val="28"/>
        </w:rPr>
        <w:t>При организации учета затрат по строительству объектов застройщику необходимо предусматривать получение информации о воспроизводственной и технологической структуре затрат, способе производства строительных работ, а также предназначении строящихся объектов и иных приобретений.</w:t>
      </w:r>
    </w:p>
    <w:p w:rsidR="00AD2A8F" w:rsidRDefault="00AD2A8F" w:rsidP="00AD2A8F">
      <w:pPr>
        <w:spacing w:after="0" w:line="360" w:lineRule="auto"/>
        <w:ind w:firstLine="709"/>
        <w:jc w:val="both"/>
        <w:rPr>
          <w:rFonts w:ascii="Times New Roman" w:hAnsi="Times New Roman"/>
          <w:sz w:val="28"/>
          <w:szCs w:val="28"/>
        </w:rPr>
      </w:pPr>
      <w:r w:rsidRPr="00FE2DD0">
        <w:rPr>
          <w:rFonts w:ascii="Times New Roman" w:hAnsi="Times New Roman"/>
          <w:sz w:val="28"/>
          <w:szCs w:val="28"/>
        </w:rPr>
        <w:t xml:space="preserve">При организации учета вложений во внеоборотные активы следует соблюдать следующие принцпы: полнота отражения вложений в учете всех хозяйственных операций, связанных с вложениями во внеоборотные активы, и документальное их подтверждение; сделки, связанные с вложениями во внеоборотные активы, должны быть оформлены договором, заключенным в </w:t>
      </w:r>
      <w:r w:rsidRPr="00FE2DD0">
        <w:rPr>
          <w:rFonts w:ascii="Times New Roman" w:hAnsi="Times New Roman"/>
          <w:sz w:val="28"/>
          <w:szCs w:val="28"/>
        </w:rPr>
        <w:lastRenderedPageBreak/>
        <w:t xml:space="preserve">соответствии с требованиями гражданского законодательства; вложения во внеоборотные активы должны учитываться обособленно </w:t>
      </w:r>
      <w:r>
        <w:rPr>
          <w:rFonts w:ascii="Times New Roman" w:hAnsi="Times New Roman"/>
          <w:sz w:val="28"/>
          <w:szCs w:val="28"/>
        </w:rPr>
        <w:t>от текущих затрат предприятия. </w:t>
      </w:r>
      <w:r w:rsidR="00F67BDE" w:rsidRPr="00F67BDE">
        <w:rPr>
          <w:rFonts w:ascii="Times New Roman CYR" w:hAnsi="Times New Roman CYR" w:cs="Times New Roman CYR"/>
          <w:kern w:val="1"/>
          <w:sz w:val="28"/>
          <w:szCs w:val="28"/>
        </w:rPr>
        <w:t>[</w:t>
      </w:r>
      <w:r w:rsidR="00F67BDE">
        <w:rPr>
          <w:rFonts w:ascii="Times New Roman CYR" w:hAnsi="Times New Roman CYR" w:cs="Times New Roman CYR"/>
          <w:kern w:val="1"/>
          <w:sz w:val="28"/>
          <w:szCs w:val="28"/>
        </w:rPr>
        <w:t>10, с. 99</w:t>
      </w:r>
      <w:r w:rsidR="00F67BDE" w:rsidRPr="00F67BDE">
        <w:rPr>
          <w:rFonts w:ascii="Times New Roman CYR" w:hAnsi="Times New Roman CYR" w:cs="Times New Roman CYR"/>
          <w:kern w:val="1"/>
          <w:sz w:val="28"/>
          <w:szCs w:val="28"/>
        </w:rPr>
        <w:t>]</w:t>
      </w:r>
    </w:p>
    <w:p w:rsidR="00AD2A8F" w:rsidRDefault="00AD2A8F" w:rsidP="00AD2A8F">
      <w:pPr>
        <w:spacing w:after="0" w:line="360" w:lineRule="auto"/>
        <w:ind w:firstLine="709"/>
        <w:jc w:val="both"/>
        <w:rPr>
          <w:rFonts w:ascii="Times New Roman" w:hAnsi="Times New Roman"/>
          <w:sz w:val="28"/>
          <w:szCs w:val="28"/>
        </w:rPr>
      </w:pPr>
      <w:r w:rsidRPr="00FE2DD0">
        <w:rPr>
          <w:rFonts w:ascii="Times New Roman" w:hAnsi="Times New Roman"/>
          <w:sz w:val="28"/>
          <w:szCs w:val="28"/>
        </w:rPr>
        <w:t>Бухгалтерский учет долгосрочных инвестиций ведется на счете 08 «Вложения во внеоборотные активы». Данный счет предназначен для обобщения информации о затратах организаци в объекты, которые впоследствии будут приняты к бухгалтерскому учету в качестве основных средств, земельных участков и объектов природопользования, нематериальных активов, а также о затратах организации по формированию основного стада продуктивного и рабочего скота. К этому счету для учета затрат на долгосрочные инвестици открываются субсчета, предусмотренные Планом сче</w:t>
      </w:r>
      <w:r>
        <w:rPr>
          <w:rFonts w:ascii="Times New Roman" w:hAnsi="Times New Roman"/>
          <w:sz w:val="28"/>
          <w:szCs w:val="28"/>
        </w:rPr>
        <w:t>тов. </w:t>
      </w:r>
      <w:r w:rsidRPr="00FE2DD0">
        <w:rPr>
          <w:rFonts w:ascii="Times New Roman" w:hAnsi="Times New Roman"/>
          <w:sz w:val="28"/>
          <w:szCs w:val="28"/>
        </w:rPr>
        <w:t xml:space="preserve">По дебету счета 08 отражают суммы фактических затрат на приобретение внеоборотных активов, их строительство (создание), включаемые </w:t>
      </w:r>
      <w:r>
        <w:rPr>
          <w:rFonts w:ascii="Times New Roman" w:hAnsi="Times New Roman"/>
          <w:sz w:val="28"/>
          <w:szCs w:val="28"/>
        </w:rPr>
        <w:t>в первоначальную стоимость. </w:t>
      </w:r>
    </w:p>
    <w:p w:rsidR="00AD2A8F" w:rsidRPr="00FE2DD0" w:rsidRDefault="00AD2A8F" w:rsidP="00AD2A8F">
      <w:pPr>
        <w:spacing w:after="0" w:line="360" w:lineRule="auto"/>
        <w:ind w:firstLine="709"/>
        <w:jc w:val="both"/>
        <w:rPr>
          <w:rFonts w:ascii="Times New Roman" w:hAnsi="Times New Roman"/>
          <w:sz w:val="28"/>
          <w:szCs w:val="28"/>
        </w:rPr>
      </w:pPr>
      <w:r w:rsidRPr="00FE2DD0">
        <w:rPr>
          <w:rFonts w:ascii="Times New Roman" w:hAnsi="Times New Roman"/>
          <w:sz w:val="28"/>
          <w:szCs w:val="28"/>
        </w:rPr>
        <w:t>Сформированную первоначальную стоимость объектов внеоборотных активов списывают с кредита счета 08 в дебет счетов 01, 03, 04, при этом делается запись: </w:t>
      </w:r>
      <w:r w:rsidRPr="00FE2DD0">
        <w:rPr>
          <w:rFonts w:ascii="Times New Roman" w:hAnsi="Times New Roman"/>
          <w:sz w:val="28"/>
          <w:szCs w:val="28"/>
        </w:rPr>
        <w:br/>
        <w:t>Д 01, 03, 04 — К 08 — отражена постановка на учет объекта внеоборотных активов по первоначальной стоимости.</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AD2A8F" w:rsidRDefault="00AD2A8F" w:rsidP="00AD2A8F">
      <w:pPr>
        <w:pStyle w:val="2"/>
        <w:rPr>
          <w:kern w:val="1"/>
        </w:rPr>
      </w:pPr>
      <w:bookmarkStart w:id="4" w:name="_Toc500695262"/>
      <w:r>
        <w:rPr>
          <w:kern w:val="1"/>
        </w:rPr>
        <w:t xml:space="preserve">1.3 </w:t>
      </w:r>
      <w:r w:rsidRPr="00FE2DD0">
        <w:rPr>
          <w:kern w:val="1"/>
        </w:rPr>
        <w:t>Нормативное регулирование учета вложений во внеоборотные активы</w:t>
      </w:r>
      <w:bookmarkEnd w:id="4"/>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Нормативное регулирование бухгалтерского учета долгосрочных инвестиций в форме капитальных вложений регулируется Положением по бухгалтерскому учету долгосрочных инвестиций, утвержденным Минфином РФ 30 декабря 1993 г. № 160.</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Данное Положение устанавливает правила бухгалтерского учета </w:t>
      </w:r>
      <w:r>
        <w:rPr>
          <w:rFonts w:ascii="Times New Roman CYR" w:hAnsi="Times New Roman CYR" w:cs="Times New Roman CYR"/>
          <w:kern w:val="1"/>
          <w:sz w:val="28"/>
          <w:szCs w:val="28"/>
        </w:rPr>
        <w:lastRenderedPageBreak/>
        <w:t>долгосрочных инвестиций и определения инвентарной стоимости объектов этих инвестиций на предприятиях и в организациях.</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Это Положение является обязательным для всех предприятий и организаций, осуществляющих долгосрочные инвестиции, независимо от форм собственности.</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7, с. 223</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этом положение говорится, что расходы по содержанию застройщиков (по действующим предприятиям - работники аппарата подразделения капитального строительства) производятся за счет средств, предназначенных на финансирование капитального строительства, и включаются в инвентарную стоимость вводимых в эксплуатацию объектов.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 дебету счета 08 «Вложения во внеоборотные активы» отражают фактически произведенные затраты на строительство (создание) и приобретение соответствующих активов, а также затраты на формирование основного стада.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Сформированная первоначальная стоимость объектов основных средств, нематериальных и других активов, принятых в эксплуатацию и оформленных в установленном порядке, списывается со счета 08 «Вложения во внеоборотные активы» в дебет счетов 01 «Основные средства», 03 «Доходные вложения в материальные ценности», 04 «Нематериальные активы» и др.</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Сальдо по счету 08 «Вложения во внеоборотные активы» отражает величину капитальных вложений организации в незавершенное строительство, незаконченные операции приобретения основных средств и нематериальных активов, а также сумму незаконченных затрат по формированию основного стада.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Незавершенные долгосрочные инвестиции отражаются по статье «Незавершенное строительство» раздела I «Внеоборотные активы» бухгалтерского баланса. Организация аналитического учета по счету 08 «Вложения во внеоборотные активы» зависит от вида долгосрочных </w:t>
      </w:r>
      <w:r>
        <w:rPr>
          <w:rFonts w:ascii="Times New Roman CYR" w:hAnsi="Times New Roman CYR" w:cs="Times New Roman CYR"/>
          <w:kern w:val="1"/>
          <w:sz w:val="28"/>
          <w:szCs w:val="28"/>
        </w:rPr>
        <w:lastRenderedPageBreak/>
        <w:t>инвестиций.</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9, с. 231</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Затраты, не увеличивающие стоимость основных средств, учитываются на счете 08 "Вложения во внеоборотные активы" отдельно от затрат на строительство объектов, определяющих их стоимость, согласно оформленным в установленном порядке, оплаченным или принятым к оплате документам, с подразделением их в учете на затраты, предусмотренные и не предусмотренные в сводных сметных расчетах стоимости строительства.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 затратам, предусмотренным в сводных сметных расчетах стоимости строительства, относятся: затраты на подготовку эксплуатационных кадров для основной деятельности строящихся предприятий; расходы перспективного характера: геолого-разведочные, изыскательские и другие, связанные со строительством объектов, в случае невозможности их включения в дальнейшем в стоимость строительства объектов; средства, передаваемые на строительство объектов в порядке долевого участия, если построенные объекты будут приняты по вводу их в эксплуатацию в собственность другими организациями; расходы, связанные с возмещением стоимости строений и посадок, сносимых при отводе земельных участков под строительство.</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К затратам, не предусмотренным в сводных сметных расчетах стоимости строительства, относятся: затраты застройщика по объектам, не законченным строительством, а также стоимость других материальных ценностей, переданных безвозмездно другим предприятиям (основанием для списания этих затрат, кроме соответствующих актов приемки - передачи, является также справка принимающей стороны об отражении в учете упомянутых затрат); расходы по оплате процентов по кредитам банков сверх учетных ставок, установленных Центральным банком Российской Федерации; убытки по основным средствам строительства, а также от разрушений не законченных строительством зданий и сооружений, возникшие от стихийных бедствий (в том </w:t>
      </w:r>
      <w:r>
        <w:rPr>
          <w:rFonts w:ascii="Times New Roman CYR" w:hAnsi="Times New Roman CYR" w:cs="Times New Roman CYR"/>
          <w:kern w:val="1"/>
          <w:sz w:val="28"/>
          <w:szCs w:val="28"/>
        </w:rPr>
        <w:lastRenderedPageBreak/>
        <w:t>числе приведшие к их ликвидации); затраты на консервацию строительства; расходы по сносу, демонтажу и охране объектов, прекращенных строительством; расходы, связанные с уплатой процентов, штрафов, пени и неустоек за нарушения в финансово-хозяйственной деятельности; другие затраты.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Законченные строительством здания и сооружения, установленное оборудование, законченные работы по реконструкции объектов, увеличивающие их первоначальную стоимость, приемка в эксплуатацию которых оформлена в установленном порядке, зачисляются в состав основных средств. Основанием для зачисления является "Акт приемки - передачи основных средств".</w:t>
      </w:r>
    </w:p>
    <w:p w:rsidR="00AD2A8F" w:rsidRDefault="00AD2A8F" w:rsidP="00377B40">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 объектам, вводимым в действие согласно договору на строительство по частям, в основные средства зачисляется стоимость введенной в действие части объекта, приемка которой оформлена в установленном порядке, исходя из суммы фактически произведенных застройщиком затрат по данному объекту, в доле, относящейся к вводимой его части, определяемой пропорционально отношению договорной стоимости вводимой части объекта к полной договорной стоимости данного объекта.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Затраты, не увеличивающие стоимости основных средств, списываются со счета 08 «Вложения во внеоборотные активы» за счет предусмотренных источников финансирования по мере полного производства соответствующих работ или совершения операций.</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14, с. 322</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Бухгалтерский учет вложений во внеоборотные активы ведется в соответствии с порядком, установленным Положением по бухгалтерскому учету «Учет договоров строительного подряда» - ПБУ 2/2008 (приказ М</w:t>
      </w:r>
      <w:r w:rsidR="00B53C0F">
        <w:rPr>
          <w:rFonts w:ascii="Times New Roman CYR" w:hAnsi="Times New Roman CYR" w:cs="Times New Roman CYR"/>
          <w:kern w:val="1"/>
          <w:sz w:val="28"/>
          <w:szCs w:val="28"/>
        </w:rPr>
        <w:t>инфина</w:t>
      </w:r>
      <w:r>
        <w:rPr>
          <w:rFonts w:ascii="Times New Roman CYR" w:hAnsi="Times New Roman CYR" w:cs="Times New Roman CYR"/>
          <w:kern w:val="1"/>
          <w:sz w:val="28"/>
          <w:szCs w:val="28"/>
        </w:rPr>
        <w:t xml:space="preserve"> РФ от 24.10.2008 г. №116н).</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Положение по бухгалтерскому учету «Учет договоров строительного подряда» устанавливает особенности порядка формирования в бухгалтерском </w:t>
      </w:r>
      <w:r>
        <w:rPr>
          <w:rFonts w:ascii="Times New Roman CYR" w:hAnsi="Times New Roman CYR" w:cs="Times New Roman CYR"/>
          <w:kern w:val="1"/>
          <w:sz w:val="28"/>
          <w:szCs w:val="28"/>
        </w:rPr>
        <w:lastRenderedPageBreak/>
        <w:t>учете и раскрытия в бухгалтерской отчетности информации о доходах, расходах и финансовых результатах организациями (за исключением кредитных организаций и государственных (муниципальных) учреждений), являющимися юридическими лицами по законодательству Российской Федерации и выступающими в качестве подрядчиков либо в качестве субподрядчиков (далее - организации) в договорах строительного подряда (далее - договор), длительность выполнения которых составляет более одного отчетного года (долгосрочный характер) или сроки начала и окончания которых приходятся на разные отчетные годы.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Данное Положение распространяется также на договоры оказания услуг в области архитектуры, инженерно-технического проектирования в строительстве и иных услуг, неразрывно связанных со строящимся объектом, на выполнение работ по восстановлению зданий, сооружений, судов, по ликвидации (разборке) их, включая связанное с ней восстановление окружающей среды, длительность выполнения которых составляет более одного отчетного года (долгосрочный характер) или сроки начала и окончания которых приходятся на разные отчетные годы.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Настоящее Положение может не применяться субъектами малого предпринимательства, за исключением эмитентов публично размещаемых ценных бумаг, а также социально ориентированными некоммерческими организациями.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Бухгалтерский учет доходов, расходов и финансовых результатов ведется отдельно по каждому исполняемому договору.</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случае, когда одним договором предусмотрено строительство комплекса объектов для одного или нескольких заказчиков по единому проекту, для целей бухгалтерского учета строительство каждого объекта должно рассматриваться как отдельный договор при соблюдении одновременно следующих условий:</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а) на строительство каждого объекта имеется техническая документация;</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 по каждому объекту могут быть достоверно определены доходы и расходы.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Два и более договоров, заключенных организацией с одним или несколькими заказчиками, должны рассматриваться для целей бухгалтерского учета как один договор при соблюдении одновременно следующих условий:</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а) в силу взаимосвязи отдельные договоры фактически относятся к единому проекту с нормой прибыли, определенной в целом по договорам;</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 договоры исполняются одновременно или последовательно (непрерывно следуя один за другим).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случае, когда при исполнении договора в техническую документацию вносится дополнительный объект строительства (дополнительные работы), для целей бухгалтерского учета строительство дополнительного объекта (выполнение дополнительных работ) должно рассматриваться как отдельный договор при соблюдении хотя бы одного из следующих условий:</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а)дополнительный объект (дополнительные работы) по конструкционным, технологическим или функциональным характеристикам существенно отличается от объектов, предусмотренных договором;</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 цена строительства дополнительного объекта (дополнительных работ) определена на основе согласованной сторонами дополнительной сметы.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Бухгалтерский учет вложений во внеоборотные активы ведется в соответствии с порядком, установленным Положением по бухгалтерскому учету «Учет основных средств» ПБУ 6/01: Утв. приказом Министерства финансов РФ от 30.03.2001 № 26н (с учетом последующих изменений и дополнений).</w:t>
      </w:r>
      <w:r w:rsidR="00F67BDE" w:rsidRPr="00F67BDE">
        <w:rPr>
          <w:rFonts w:ascii="Times New Roman CYR" w:hAnsi="Times New Roman CYR" w:cs="Times New Roman CYR"/>
          <w:kern w:val="1"/>
          <w:sz w:val="28"/>
          <w:szCs w:val="28"/>
        </w:rPr>
        <w:t xml:space="preserve"> [</w:t>
      </w:r>
      <w:r w:rsidR="00F67BDE">
        <w:rPr>
          <w:rFonts w:ascii="Times New Roman CYR" w:hAnsi="Times New Roman CYR" w:cs="Times New Roman CYR"/>
          <w:kern w:val="1"/>
          <w:sz w:val="28"/>
          <w:szCs w:val="28"/>
        </w:rPr>
        <w:t>6, с. 74</w:t>
      </w:r>
      <w:r w:rsidR="00F67BDE" w:rsidRPr="00F67BDE">
        <w:rPr>
          <w:rFonts w:ascii="Times New Roman CYR" w:hAnsi="Times New Roman CYR" w:cs="Times New Roman CYR"/>
          <w:kern w:val="1"/>
          <w:sz w:val="28"/>
          <w:szCs w:val="28"/>
        </w:rPr>
        <w:t>]</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Pr="00FF472A" w:rsidRDefault="00AD2A8F" w:rsidP="00AD2A8F">
      <w:pPr>
        <w:pStyle w:val="1"/>
        <w:rPr>
          <w:rFonts w:cstheme="majorBidi"/>
          <w:kern w:val="1"/>
        </w:rPr>
      </w:pPr>
      <w:r>
        <w:rPr>
          <w:kern w:val="1"/>
        </w:rPr>
        <w:br w:type="page"/>
      </w:r>
      <w:bookmarkStart w:id="5" w:name="_Toc500695263"/>
      <w:r>
        <w:rPr>
          <w:kern w:val="1"/>
        </w:rPr>
        <w:lastRenderedPageBreak/>
        <w:t>ГЛАВА 2 О</w:t>
      </w:r>
      <w:r w:rsidRPr="00FF472A">
        <w:rPr>
          <w:kern w:val="1"/>
        </w:rPr>
        <w:t xml:space="preserve">РГАНИЗАЦИЯ БУХГАЛТЕРСКОГО УЧЕТА ВЛОЖЕНИЙ ВО ВНЕОБОРОТНЫЕ АКТИВЫ НА ПРИМЕРЕ </w:t>
      </w:r>
      <w:r>
        <w:rPr>
          <w:kern w:val="1"/>
        </w:rPr>
        <w:t xml:space="preserve"> ПАО</w:t>
      </w:r>
      <w:r w:rsidRPr="00FF472A">
        <w:rPr>
          <w:kern w:val="1"/>
        </w:rPr>
        <w:t xml:space="preserve"> «</w:t>
      </w:r>
      <w:r>
        <w:rPr>
          <w:rFonts w:ascii="Times New Roman CYR" w:hAnsi="Times New Roman CYR" w:cs="Times New Roman CYR"/>
          <w:kern w:val="1"/>
          <w:szCs w:val="28"/>
        </w:rPr>
        <w:t>ПОРТНЕФТЕСЕРВИС</w:t>
      </w:r>
      <w:r w:rsidRPr="00FF472A">
        <w:rPr>
          <w:kern w:val="1"/>
        </w:rPr>
        <w:t>»</w:t>
      </w:r>
      <w:bookmarkEnd w:id="5"/>
    </w:p>
    <w:p w:rsidR="00AD2A8F" w:rsidRDefault="00AD2A8F" w:rsidP="00AD2A8F">
      <w:pPr>
        <w:pStyle w:val="2"/>
        <w:rPr>
          <w:kern w:val="1"/>
        </w:rPr>
      </w:pPr>
      <w:bookmarkStart w:id="6" w:name="_Toc500695264"/>
      <w:r>
        <w:rPr>
          <w:kern w:val="1"/>
        </w:rPr>
        <w:t>2.1 Организационно – экономическая характеристика  ПАО «Портнефтесервис»</w:t>
      </w:r>
      <w:bookmarkEnd w:id="6"/>
      <w:r>
        <w:rPr>
          <w:kern w:val="1"/>
        </w:rPr>
        <w:t xml:space="preserve">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Полное наименование организации: </w:t>
      </w:r>
      <w:r w:rsidR="00377B40">
        <w:rPr>
          <w:rFonts w:ascii="Times New Roman CYR" w:hAnsi="Times New Roman CYR" w:cs="Times New Roman CYR"/>
          <w:kern w:val="1"/>
          <w:sz w:val="28"/>
          <w:szCs w:val="28"/>
        </w:rPr>
        <w:t xml:space="preserve">Публичное акционерное общество </w:t>
      </w:r>
      <w:r>
        <w:rPr>
          <w:rFonts w:ascii="Times New Roman CYR" w:hAnsi="Times New Roman CYR" w:cs="Times New Roman CYR"/>
          <w:kern w:val="1"/>
          <w:sz w:val="28"/>
          <w:szCs w:val="28"/>
        </w:rPr>
        <w:t xml:space="preserve">«Портнефтесервис» (ПАО «Портнефтесервис»). Место нахождения Общества: 690065, РФ, Приморский край, г. Владивосток, ул. Стрельникова, 9. Данное общество является коммерческой организацией, существующей в организационно-правовой форме: Публичное акционерное общество.  ПАО «Портнефтесервис» зарегистрировано 20.11.2000г. Общество руководствуется положениями Устава, действующим законодательством Российской Федерации и принятыми на его основе нормативными актами местных органов власти и управления.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Общество имеет в собственности обособленное имущество, учитываемое на его самостоятельном балансе. Общество имеет реквизиты юридического лица: круглую печать, угловой штамп, самостоятельный баланс, обособленное имущество, счета в банках, наименование, знаки отличия - товарный знак, эмблемы и другие средства индивидуализации. Общество не отвечает по обязательствам своих Участников, также и Участники не отвечают по обязательствам Общества и несут риск убытков, связанных с деятельностью Общества в пределах стоимости принадлежащих им долей в Уставном капитале Общества.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Учредителями общества в 2015 году являлись физические лица в количестве 5 человек (резиденты РФ). Численность работающих - 7 человек.</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Основной целью Общества является получение прибыли в интересах Участников и обеспечение стабильности Общества. Основные виды </w:t>
      </w:r>
      <w:r>
        <w:rPr>
          <w:rFonts w:ascii="Times New Roman CYR" w:hAnsi="Times New Roman CYR" w:cs="Times New Roman CYR"/>
          <w:kern w:val="1"/>
          <w:sz w:val="28"/>
          <w:szCs w:val="28"/>
        </w:rPr>
        <w:lastRenderedPageBreak/>
        <w:t>деятельности предприятия  ПАО «Портнефтесервис»:</w:t>
      </w:r>
    </w:p>
    <w:p w:rsidR="00AD2A8F" w:rsidRDefault="00AD2A8F" w:rsidP="00AD2A8F">
      <w:pPr>
        <w:widowControl w:val="0"/>
        <w:numPr>
          <w:ilvl w:val="0"/>
          <w:numId w:val="5"/>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Оптовая торговля нефтепродуктами</w:t>
      </w:r>
    </w:p>
    <w:p w:rsidR="00AD2A8F" w:rsidRDefault="00AD2A8F" w:rsidP="00AD2A8F">
      <w:pPr>
        <w:widowControl w:val="0"/>
        <w:numPr>
          <w:ilvl w:val="0"/>
          <w:numId w:val="5"/>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Бункеровка судов топливом </w:t>
      </w:r>
    </w:p>
    <w:p w:rsidR="00AD2A8F" w:rsidRDefault="00AD2A8F" w:rsidP="00AD2A8F">
      <w:pPr>
        <w:widowControl w:val="0"/>
        <w:numPr>
          <w:ilvl w:val="0"/>
          <w:numId w:val="5"/>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Перевалка нефтепродуктов</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 ПАО "Портнефтесервис", на основании договоров с  ПАО НПП «ВЛАДПОРТБУНКЕР», грузоотправителями, судовладельцами и их агентами предоставляет полный комплекс транспортно-экспедиторских услуг по перегрузке внешнеторговых и внутригосударственных грузов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Одна из основных целей предприятия получение прибыли и наращивание ее на определенных нормой указанных в стратегическом плане.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Учетная политика  ПАО «Портнефтесервис» разработана в соответствии с требованиями Федерального закона от 06.12.2011 № 402-ФЗ «О бухгалтерском учете», Положениями по ведению бухгалтерского учета и бухгалтерской отчетности в Российской Федерации, утвержденного приказом Минфина России от 29.07.98 № 34н, Положения по бухгалтерскому учету «Учетная политика организации» ПБУ 1/2008, утвержденного приказом Минфина России от 06.10.08 № 106н.</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Общество обязано вести бухгалтерский учет и представлять финансовую отчетность в порядке, установленном нормативными правовыми актами Российской Федерации. Ответственность за организацию, состояние и достоверность бухгалтерского учета в Обществе, своевременное представление ежегодного отчёта и другой финансовой отчетности в соответствующие государственные органы несёт Генеральный директор в соответствии с нормативными правовыми актами Российской Федерации.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Общество не обязано публиковать отчетность о своей деятельности, за исключением случаев, предусмотренных федеральным законом. Итоги </w:t>
      </w:r>
      <w:r>
        <w:rPr>
          <w:rFonts w:ascii="Times New Roman CYR" w:hAnsi="Times New Roman CYR" w:cs="Times New Roman CYR"/>
          <w:kern w:val="1"/>
          <w:sz w:val="28"/>
          <w:szCs w:val="28"/>
        </w:rPr>
        <w:lastRenderedPageBreak/>
        <w:t>деятельности Общества отражаются в бухгалтерском балансе, отчёте о финансовых результатах, годовом отчёте Общества.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Бухгалтерский учет имущества, обязательств и хозяйственных операций в организации ведется в рублях и копейках.</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Основание: пункт 25 Положения по ведению бухгалтерского учета и бухгалтерской отчетности в Российской Федерации, утвержденного приказом Минфина России от 29.07.98 № 34н</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Основание: пункт 4 ПБУ 1/2008 «Учетная политика организации»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В качестве форм первичных учетных документов используются унифицированные формы, </w:t>
      </w:r>
      <w:r w:rsidR="00B53C0F">
        <w:rPr>
          <w:rFonts w:ascii="Times New Roman CYR" w:hAnsi="Times New Roman CYR" w:cs="Times New Roman CYR"/>
          <w:kern w:val="1"/>
          <w:sz w:val="28"/>
          <w:szCs w:val="28"/>
        </w:rPr>
        <w:t>утвержденные Росстатом</w:t>
      </w:r>
      <w:r>
        <w:rPr>
          <w:rFonts w:ascii="Times New Roman CYR" w:hAnsi="Times New Roman CYR" w:cs="Times New Roman CYR"/>
          <w:kern w:val="1"/>
          <w:sz w:val="28"/>
          <w:szCs w:val="28"/>
        </w:rPr>
        <w:t>. Дополнительно используются формы разработанные организацией в соответствии со спецификой ее деятельности. Основание: пункт 4 ПБУ 1/2008 «Учетная политика организации»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качестве форм бухгалтерской отчетности формы, используются формы, приведенные в приложении к приказу Минфина России от 02.07.2010 № 66н.</w:t>
      </w:r>
    </w:p>
    <w:p w:rsidR="00AD2A8F" w:rsidRDefault="00B53C0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 1 января  2012</w:t>
      </w:r>
      <w:r w:rsidR="00AD2A8F">
        <w:rPr>
          <w:rFonts w:ascii="Times New Roman CYR" w:hAnsi="Times New Roman CYR" w:cs="Times New Roman CYR"/>
          <w:kern w:val="1"/>
          <w:sz w:val="28"/>
          <w:szCs w:val="28"/>
        </w:rPr>
        <w:t xml:space="preserve"> г. вступил в силу Федеральный закон от 06.12.2011 N 402-ФЗ (далее - Закон N 402-ФЗ). Согласно ч. 1 ст. 13 Закона N 402-ФЗ бухгалтерская отчетность предназначена для отражения достоверных и полных сведений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На данном предприятии функциональная структура управления. Финансовые результаты работы  ПАО «Портнефтесервис» в  2015 году предс</w:t>
      </w:r>
      <w:r>
        <w:rPr>
          <w:rFonts w:ascii="Times New Roman CYR" w:hAnsi="Times New Roman CYR" w:cs="Times New Roman CYR"/>
          <w:kern w:val="1"/>
          <w:sz w:val="28"/>
          <w:szCs w:val="28"/>
        </w:rPr>
        <w:t>тавлены следующими показателями, указанными ниже.</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Финансовые результаты общества текущего года возросли, из за увеличен</w:t>
      </w:r>
      <w:r w:rsidR="00B53C0F">
        <w:rPr>
          <w:rFonts w:ascii="Times New Roman CYR" w:hAnsi="Times New Roman CYR" w:cs="Times New Roman CYR"/>
          <w:kern w:val="1"/>
          <w:sz w:val="28"/>
          <w:szCs w:val="28"/>
        </w:rPr>
        <w:t>ия объемов реализации компании П</w:t>
      </w:r>
      <w:r>
        <w:rPr>
          <w:rFonts w:ascii="Times New Roman CYR" w:hAnsi="Times New Roman CYR" w:cs="Times New Roman CYR"/>
          <w:kern w:val="1"/>
          <w:sz w:val="28"/>
          <w:szCs w:val="28"/>
        </w:rPr>
        <w:t>АО «Сибирская угольная энергетическая компания» ( 2015г - 14747,651 тн.;  2014г. - 614,214 тн.) а так же роста цен на топливо в среднем : мазуты - 15,3%, ТСМ - 7,1%.</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48412A"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noProof/>
          <w:kern w:val="1"/>
          <w:sz w:val="28"/>
          <w:szCs w:val="28"/>
        </w:rPr>
      </w:pPr>
      <w:r>
        <w:rPr>
          <w:rFonts w:ascii="Microsoft Sans Serif" w:hAnsi="Microsoft Sans Serif" w:cs="Microsoft Sans Serif"/>
          <w:noProof/>
          <w:sz w:val="17"/>
          <w:szCs w:val="17"/>
        </w:rPr>
        <w:drawing>
          <wp:inline distT="0" distB="0" distL="0" distR="0">
            <wp:extent cx="4495800" cy="26860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srcRect/>
                    <a:stretch>
                      <a:fillRect/>
                    </a:stretch>
                  </pic:blipFill>
                  <pic:spPr bwMode="auto">
                    <a:xfrm>
                      <a:off x="0" y="0"/>
                      <a:ext cx="4495800" cy="2686050"/>
                    </a:xfrm>
                    <a:prstGeom prst="rect">
                      <a:avLst/>
                    </a:prstGeom>
                    <a:noFill/>
                    <a:ln w="9525">
                      <a:noFill/>
                      <a:miter lim="800000"/>
                      <a:headEnd/>
                      <a:tailEnd/>
                    </a:ln>
                  </pic:spPr>
                </pic:pic>
              </a:graphicData>
            </a:graphic>
          </wp:inline>
        </w:drawing>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Рис. 2 Структура  ПАО «ПОРТНЕФТЕСЕРВИС»</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keepNext/>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Таблица 1</w:t>
      </w:r>
      <w:r w:rsidR="00B53C0F">
        <w:rPr>
          <w:rFonts w:ascii="Times New Roman CYR" w:hAnsi="Times New Roman CYR" w:cs="Times New Roman CYR"/>
          <w:kern w:val="1"/>
          <w:sz w:val="28"/>
          <w:szCs w:val="28"/>
        </w:rPr>
        <w:t xml:space="preserve"> Финансовые результаты</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4200"/>
        <w:gridCol w:w="1093"/>
        <w:gridCol w:w="910"/>
        <w:gridCol w:w="868"/>
      </w:tblGrid>
      <w:tr w:rsidR="00AD2A8F" w:rsidRPr="00AD2A8F" w:rsidTr="006802A9">
        <w:trPr>
          <w:jc w:val="center"/>
        </w:trPr>
        <w:tc>
          <w:tcPr>
            <w:tcW w:w="420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Показатели</w:t>
            </w:r>
          </w:p>
        </w:tc>
        <w:tc>
          <w:tcPr>
            <w:tcW w:w="1093"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Ед.изм.</w:t>
            </w:r>
          </w:p>
        </w:tc>
        <w:tc>
          <w:tcPr>
            <w:tcW w:w="91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2015 г.</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2014 г.</w:t>
            </w:r>
          </w:p>
        </w:tc>
      </w:tr>
      <w:tr w:rsidR="00AD2A8F" w:rsidRPr="00AD2A8F" w:rsidTr="006802A9">
        <w:trPr>
          <w:jc w:val="center"/>
        </w:trPr>
        <w:tc>
          <w:tcPr>
            <w:tcW w:w="420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xml:space="preserve">Прибыль (убыток) от продаж </w:t>
            </w:r>
          </w:p>
        </w:tc>
        <w:tc>
          <w:tcPr>
            <w:tcW w:w="1093"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Тыс.руб.</w:t>
            </w:r>
          </w:p>
        </w:tc>
        <w:tc>
          <w:tcPr>
            <w:tcW w:w="91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xml:space="preserve">15 960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12 362</w:t>
            </w:r>
          </w:p>
        </w:tc>
      </w:tr>
      <w:tr w:rsidR="00AD2A8F" w:rsidRPr="00AD2A8F" w:rsidTr="006802A9">
        <w:trPr>
          <w:jc w:val="center"/>
        </w:trPr>
        <w:tc>
          <w:tcPr>
            <w:tcW w:w="420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Прибыль (убыток) до налогообложения</w:t>
            </w:r>
          </w:p>
        </w:tc>
        <w:tc>
          <w:tcPr>
            <w:tcW w:w="1093"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Тыс.руб.</w:t>
            </w:r>
          </w:p>
        </w:tc>
        <w:tc>
          <w:tcPr>
            <w:tcW w:w="91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5 009</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3 474</w:t>
            </w:r>
          </w:p>
        </w:tc>
      </w:tr>
      <w:tr w:rsidR="00AD2A8F" w:rsidRPr="00AD2A8F" w:rsidTr="006802A9">
        <w:trPr>
          <w:jc w:val="center"/>
        </w:trPr>
        <w:tc>
          <w:tcPr>
            <w:tcW w:w="420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Чистая прибыль (убыток) отчетного периода</w:t>
            </w:r>
          </w:p>
        </w:tc>
        <w:tc>
          <w:tcPr>
            <w:tcW w:w="1093"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Тыс.руб.</w:t>
            </w:r>
          </w:p>
        </w:tc>
        <w:tc>
          <w:tcPr>
            <w:tcW w:w="910"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3 800</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2 713</w:t>
            </w:r>
          </w:p>
        </w:tc>
      </w:tr>
    </w:tbl>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Изменения в составе затрат на производство так же происходили пропорционально росту выручки от продаж. Коммерческие расходы возросли против 2014 года в 2 раза, из-за увеличения роста поставок топлива покупателям автомобильным транспортом (бензовозы). В 2014 г. затраты по перевозке составили 882 тыс. руб., в 2015г. - 3306 тыс. руб. </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составе прочих доходов и расходов  ПАО «Портнефтесервис» отражены:</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Таблица 2</w:t>
      </w:r>
      <w:r w:rsidR="00B53C0F">
        <w:rPr>
          <w:rFonts w:ascii="Times New Roman CYR" w:hAnsi="Times New Roman CYR" w:cs="Times New Roman CYR"/>
          <w:kern w:val="1"/>
          <w:sz w:val="28"/>
          <w:szCs w:val="28"/>
        </w:rPr>
        <w:t xml:space="preserve"> Состав прочих расходов</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4792"/>
        <w:gridCol w:w="1101"/>
        <w:gridCol w:w="868"/>
        <w:gridCol w:w="924"/>
      </w:tblGrid>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Показатели</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Ед.изм.</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2015 г.</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2014 г.</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Прочие доходы</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 руб.</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2 723</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1 578</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в т.ч.: реализация ОС</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86</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курсовые разницы</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2 519</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1 578</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штрафы, пени</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118</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lastRenderedPageBreak/>
              <w:t>Прочие расходы</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 руб.</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5 573</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3 662</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в т.ч.: курсовые разницы</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3 985</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1 899</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убыток от уступки прав долга разные (налоги услуги</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463</w:t>
            </w:r>
          </w:p>
        </w:tc>
      </w:tr>
      <w:tr w:rsidR="00AD2A8F" w:rsidRPr="00AD2A8F" w:rsidTr="006802A9">
        <w:trPr>
          <w:jc w:val="center"/>
        </w:trPr>
        <w:tc>
          <w:tcPr>
            <w:tcW w:w="479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xml:space="preserve"> банков)</w:t>
            </w:r>
          </w:p>
        </w:tc>
        <w:tc>
          <w:tcPr>
            <w:tcW w:w="1101"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 -</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1 588</w:t>
            </w:r>
          </w:p>
        </w:tc>
        <w:tc>
          <w:tcPr>
            <w:tcW w:w="924"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1 300</w:t>
            </w:r>
          </w:p>
        </w:tc>
      </w:tr>
    </w:tbl>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текущем году рост прочих доходов и расходов сформировался за счет роста курсовых разниц по валютным операциям. В целом данный блок хозяйственных операций в 2015г принес убыток - 1 466 тыс. руб. ( 2014г.- 321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связи с недостатком собственных оборотных средств,  ПАО «Портнефтесервис» в 2015 году пользовалось кредитами банков и займами физических лиц. Задолженность на конец  2015г. по кредитам банка составляет 49 702 тыс. руб. ( на конец  2014 г - 75 637 тыс. руб.), уплачено процентов по кредитам за 2015 г в сумме - 6 034,2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Все кредитные обязательства по банкам в текущем году  ПАО «Портнефтесервис» выполняло своевременно.</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Задолженность на конец 2015 года по займам физическим лицом составляет - 15 000 тыс. руб. (  2015- 15 000 тыс. руб.), уплачено процентов в сумме - 2 144,6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Дебиторская задолженность на конец года составила 115 162 тыс. руб. и возросла против 2014 г на 28604 тыс. руб. ( 2014г. - 86 558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Рост дебиторской задолженности возник из-за авансов, перечисленных в декабре  2015г контрагентом на приобретение топлива (2015г. - 43 789 тыс. руб. ; 2014 г. - 10 722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Выданные авансы под приобретение оборотных активов - являются краткосрочной задолженностью.</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Кредиторская задолженность снижена против прошлого года на 69928 тыс. руб. (2015г - 61 049 тыс. руб.;  2014г. 130 977 тыс. руб.), снижение </w:t>
      </w:r>
      <w:r>
        <w:rPr>
          <w:rFonts w:ascii="Times New Roman CYR" w:hAnsi="Times New Roman CYR" w:cs="Times New Roman CYR"/>
          <w:kern w:val="1"/>
          <w:sz w:val="28"/>
          <w:szCs w:val="28"/>
        </w:rPr>
        <w:lastRenderedPageBreak/>
        <w:t xml:space="preserve">произошло из-за уменьшения задолженности перед поставщиками за поставленный товар ( 2015г. - 36 929;  2014г. - 66 914 тыс. руб.), снижение авансовых платежей покупателям на конец года ( 2015г - 22 720 тыс. руб.;  2014г. - 62 941 тыс. руб.) </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  2015 г возникли оценочные обязательства для оплаты предстоящих отпусков и составили на конец года 213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Изменения в капитале  ПАО «Портнефтесервис» в  2015 году происходили следующим образом: </w:t>
      </w:r>
    </w:p>
    <w:p w:rsidR="00AD2A8F" w:rsidRDefault="00AD2A8F" w:rsidP="00AD2A8F">
      <w:pPr>
        <w:widowControl w:val="0"/>
        <w:numPr>
          <w:ilvl w:val="0"/>
          <w:numId w:val="1"/>
        </w:numPr>
        <w:tabs>
          <w:tab w:val="left" w:pos="720"/>
        </w:tab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Произведены расчеты с учредителями за  2014 г - 2 713 тыс. руб.</w:t>
      </w:r>
    </w:p>
    <w:p w:rsidR="00AD2A8F" w:rsidRDefault="00AD2A8F" w:rsidP="00AD2A8F">
      <w:pPr>
        <w:widowControl w:val="0"/>
        <w:numPr>
          <w:ilvl w:val="0"/>
          <w:numId w:val="1"/>
        </w:numPr>
        <w:tabs>
          <w:tab w:val="left" w:pos="720"/>
        </w:tab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Чистая прибыль  2015г. составила 3 800 тыс. руб. </w:t>
      </w:r>
    </w:p>
    <w:p w:rsidR="00AD2A8F" w:rsidRDefault="00AD2A8F" w:rsidP="00AD2A8F">
      <w:pPr>
        <w:widowControl w:val="0"/>
        <w:numPr>
          <w:ilvl w:val="0"/>
          <w:numId w:val="1"/>
        </w:numPr>
        <w:tabs>
          <w:tab w:val="left" w:pos="720"/>
        </w:tab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Капитал общества вырос на 1 087 тыс. руб. (на начало года - 4 663 тыс. руб.; на конец года - 5 750 тыс. руб.)</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В текущем году  ПАО «Портнефтесервис» своевременно и в полно объеме производило расчеты с бюджетом и внебюджетными фондами. В текущем году  ПАО «Портнефтесервис» не совершал операций по договорам о совместной деятельности. Совокупных затрат на оплату использованных энергетических ресурсов - не производилось. </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Показатели, характеризующие результаты финансово-хозяйственной деятельности  ПАО «Портнефтесервис»</w:t>
      </w: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Таблица 3</w:t>
      </w:r>
      <w:r w:rsidR="00B53C0F">
        <w:rPr>
          <w:rFonts w:ascii="Times New Roman CYR" w:hAnsi="Times New Roman CYR" w:cs="Times New Roman CYR"/>
          <w:kern w:val="1"/>
          <w:sz w:val="28"/>
          <w:szCs w:val="28"/>
        </w:rPr>
        <w:t xml:space="preserve"> Результаты финансово – хозяйственной деятельности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976"/>
        <w:gridCol w:w="1022"/>
        <w:gridCol w:w="825"/>
        <w:gridCol w:w="868"/>
      </w:tblGrid>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Показатели</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Ед. изм.</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xml:space="preserve"> 2015г.</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 xml:space="preserve"> 2014г.</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 Норма чистой прибыли</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0,21</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0,19</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 Коэффициент оборачиваемости активов</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раз</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13,6</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6,3</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 Рентабельность активов</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2,9</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1,2</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4. Собственные оборотные средства</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тыс. руб.</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35375</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43193</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5. Чистые активы</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5750</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4663</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6. Рентабельность собственного капитала</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66,1</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58,2</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7. Рентабельность продаж</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w:t>
            </w: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0,89</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0,86</w:t>
            </w:r>
          </w:p>
        </w:tc>
      </w:tr>
      <w:tr w:rsidR="00AD2A8F" w:rsidRPr="00AD2A8F" w:rsidTr="006802A9">
        <w:trPr>
          <w:jc w:val="center"/>
        </w:trPr>
        <w:tc>
          <w:tcPr>
            <w:tcW w:w="3976"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8. Коэффициент текущей ликвидности.</w:t>
            </w:r>
          </w:p>
        </w:tc>
        <w:tc>
          <w:tcPr>
            <w:tcW w:w="1022"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p>
        </w:tc>
        <w:tc>
          <w:tcPr>
            <w:tcW w:w="825"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1,366</w:t>
            </w:r>
          </w:p>
        </w:tc>
        <w:tc>
          <w:tcPr>
            <w:tcW w:w="868" w:type="dxa"/>
            <w:tcBorders>
              <w:top w:val="single" w:sz="6" w:space="0" w:color="auto"/>
              <w:left w:val="single" w:sz="6" w:space="0" w:color="auto"/>
              <w:bottom w:val="single" w:sz="6" w:space="0" w:color="auto"/>
              <w:right w:val="single" w:sz="6" w:space="0" w:color="auto"/>
            </w:tcBorders>
          </w:tcPr>
          <w:p w:rsidR="00AD2A8F" w:rsidRPr="00AD2A8F" w:rsidRDefault="00AD2A8F" w:rsidP="006802A9">
            <w:pPr>
              <w:widowControl w:val="0"/>
              <w:autoSpaceDE w:val="0"/>
              <w:autoSpaceDN w:val="0"/>
              <w:adjustRightInd w:val="0"/>
              <w:spacing w:after="0"/>
              <w:rPr>
                <w:rFonts w:ascii="Times New Roman CYR" w:eastAsiaTheme="minorEastAsia" w:hAnsi="Times New Roman CYR" w:cs="Times New Roman CYR"/>
                <w:sz w:val="20"/>
                <w:szCs w:val="20"/>
              </w:rPr>
            </w:pPr>
            <w:r w:rsidRPr="00AD2A8F">
              <w:rPr>
                <w:rFonts w:ascii="Times New Roman CYR" w:eastAsiaTheme="minorEastAsia" w:hAnsi="Times New Roman CYR" w:cs="Times New Roman CYR"/>
                <w:sz w:val="20"/>
                <w:szCs w:val="20"/>
              </w:rPr>
              <w:t>1,235</w:t>
            </w:r>
          </w:p>
        </w:tc>
      </w:tr>
    </w:tbl>
    <w:p w:rsidR="00AD2A8F" w:rsidRDefault="00AD2A8F" w:rsidP="00AD2A8F">
      <w:pPr>
        <w:pStyle w:val="2"/>
      </w:pPr>
      <w:r>
        <w:rPr>
          <w:kern w:val="1"/>
        </w:rPr>
        <w:br w:type="page"/>
      </w:r>
      <w:bookmarkStart w:id="7" w:name="_Toc500695265"/>
      <w:r w:rsidR="00501FFB">
        <w:lastRenderedPageBreak/>
        <w:t>2</w:t>
      </w:r>
      <w:r w:rsidRPr="00CF6EEF">
        <w:t xml:space="preserve">.2 </w:t>
      </w:r>
      <w:r>
        <w:t>Порядок учета вложений во внеоборотные активы в  ПАО «Портнефтесервис»</w:t>
      </w:r>
      <w:bookmarkEnd w:id="7"/>
    </w:p>
    <w:p w:rsidR="00AD2A8F" w:rsidRPr="00CF6EEF" w:rsidRDefault="00AD2A8F" w:rsidP="00AD2A8F"/>
    <w:p w:rsidR="00AD2A8F" w:rsidRDefault="00AD2A8F" w:rsidP="00AD2A8F">
      <w:pPr>
        <w:widowControl w:val="0"/>
        <w:tabs>
          <w:tab w:val="left" w:pos="709"/>
        </w:tabs>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Под капитальным строительством понимаются работы по строительству новых объектов, а также расширению, реконструкции и техническому перевооружению действующих объектов основных средств.</w:t>
      </w:r>
    </w:p>
    <w:p w:rsidR="00AD2A8F" w:rsidRDefault="00AD2A8F" w:rsidP="00AD2A8F">
      <w:pPr>
        <w:widowControl w:val="0"/>
        <w:tabs>
          <w:tab w:val="left" w:pos="709"/>
        </w:tabs>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Капитальное строительство осуществляется в соответствии с договором (контрактом) на капитальное строительство, под которым понимается документ, устанавливающий обязательства сторон, участвующих в его заключении и выполнении. Организация строительства объектов, контроль за ходом строительства, а также ведение бухгалтерского учета осуществляется застройщиком.</w:t>
      </w:r>
    </w:p>
    <w:p w:rsidR="00AD2A8F" w:rsidRDefault="00AD2A8F" w:rsidP="00AD2A8F">
      <w:pPr>
        <w:widowControl w:val="0"/>
        <w:tabs>
          <w:tab w:val="left" w:pos="709"/>
        </w:tabs>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Приоритетное значение для понимания проблем инвестирования в основные средства имеет рассмотрение методики учета строительства объектов основных средств и выполнения НИОКР.</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Под застройщиками понимаются организации, специализирующиеся на выполнении указанных функций.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Юридическое или физическое лицо, осуществляющее вложения собственных и заемных средств в капитальное строительство объектов, называется инвестором.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При осуществлении строительства хозяйственным способом функции подрядчика и заказчика совмещает один экономический субъект.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Последний осуществляет строительство самостоятельно, либо создает в рамках своей уставной деятельности вспомогательное производство - внутреннее строительно-монтажное подразделение. Иными словами, и строительное производство, и основная деятельность, предусмотренная уставом, находят отражение в единой системе бухгалтерского учета и в одном </w:t>
      </w:r>
      <w:r>
        <w:rPr>
          <w:rFonts w:ascii="Times New Roman CYR" w:hAnsi="Times New Roman CYR" w:cs="Times New Roman CYR"/>
          <w:kern w:val="1"/>
          <w:sz w:val="28"/>
          <w:szCs w:val="28"/>
        </w:rPr>
        <w:lastRenderedPageBreak/>
        <w:t>бухгалтерском отчете данного хозяйствующего субъекта.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Хозяйственный способ - это выполнение строительных и монтажных работ своими силами, без привлечения подрядных строительно-монтажных организаций.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Организация, осуществляющая долгосрочные инвестиции хозяйственным способом, должна организовывать в своем хозяйстве строительно-монтажные участки, цехи, отделы (ОКСы).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Фактические затраты на строительство и монтажные работы, произведенные застройщиком, относят в дебет счета 08 «Вложения во внеоборотные активы» с кредита расчетных счетов, счета «Материалы» и др.: Д 08 К 10, 70, 69, 02, 76, 60.</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Аналитический учет долгосрочных инвестиций в основные средства ведут по каждому объекту в целом и по видам работ ежемесячно и нарастающим итогом с начала строительства до ввода объекта в действие в бухгалтерских регистрах по дебету счетов 07 и 08.</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Синтетический учет долгосрочных инвестиций ведут в журнале ордере №16 по кредиту счетов 08, 07.</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Регистр аналитического учета - ведомость № 18, где аналитические счета открываются по объектам вложений.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При использовании организацией автоматизированной формы учета с применением программного продукта «1C: Предприятие» регистрами синтетического учета являются обороты счета 08 (Главная книга), анализ счета 08, оборотно-сальдовая ведомость и др. Регистрами аналитического учета выступают оборотно-сальдовая ведомость по счету 08, анализ счета 08 по субконто, обороты между субконто, карточка счета 08, карточка счета 08 по субконто и др.</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Моментом ввода объекта капитальных вложений в эксплуатацию </w:t>
      </w:r>
      <w:r>
        <w:rPr>
          <w:rFonts w:ascii="Times New Roman CYR" w:hAnsi="Times New Roman CYR" w:cs="Times New Roman CYR"/>
          <w:kern w:val="1"/>
          <w:sz w:val="28"/>
          <w:szCs w:val="28"/>
        </w:rPr>
        <w:lastRenderedPageBreak/>
        <w:t>считается дата подписания акта приемочной комиссией (форма КС - 14, приложение Б). Первоначальная стоимость складывается в момент принятия объекта в эксплуатацию в данной организации. Основные средства приходуют по дебету счета 01 по первоначальной (инвентарной) стоимости и оформляют записью: Д 01 К 08.</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Основанием для выполнения записей в бухгалтерские регистры являются следующие документы:</w:t>
      </w:r>
    </w:p>
    <w:p w:rsidR="00AD2A8F" w:rsidRDefault="00AD2A8F" w:rsidP="00AD2A8F">
      <w:pPr>
        <w:widowControl w:val="0"/>
        <w:numPr>
          <w:ilvl w:val="0"/>
          <w:numId w:val="6"/>
        </w:numPr>
        <w:tabs>
          <w:tab w:val="left" w:pos="1440"/>
        </w:tabs>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Документы, подтверждающие размер затрат, произведенных при создании основных средств;</w:t>
      </w:r>
    </w:p>
    <w:p w:rsidR="00AD2A8F" w:rsidRDefault="00AD2A8F" w:rsidP="00AD2A8F">
      <w:pPr>
        <w:widowControl w:val="0"/>
        <w:numPr>
          <w:ilvl w:val="0"/>
          <w:numId w:val="6"/>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Акт, подтверждающий создание основных средств в организации;</w:t>
      </w:r>
    </w:p>
    <w:p w:rsidR="00AD2A8F" w:rsidRDefault="00AD2A8F" w:rsidP="00AD2A8F">
      <w:pPr>
        <w:widowControl w:val="0"/>
        <w:numPr>
          <w:ilvl w:val="0"/>
          <w:numId w:val="6"/>
        </w:numPr>
        <w:suppressAutoHyphens/>
        <w:autoSpaceDE w:val="0"/>
        <w:autoSpaceDN w:val="0"/>
        <w:adjustRightInd w:val="0"/>
        <w:spacing w:after="0" w:line="360" w:lineRule="auto"/>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Акт приемки основных средств, подтверждающий их оприходование в самой организации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Построенный объект подлежит государственной регистрации.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Затраты организации, выполняемые хозяйственным способом, подлежат включению в налогооблагаемую базу при расчете суммы НДС, подлежащей взносу в бюджет, по ставке 18%. Налогооблагаемая база определяется как стоимость выполненных работ, исчисленная исходя их всех фактических расходов налогоплательщиков на их выполнение, включая расходы реорганизованной (реорганизуемой) организации (ст. 159 НК РФ).</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Налоговый кодекс РФ позволяет возмещать НДС по: материалам (работам, услугам), которые были использованы при выполнении строительно-монтажных работ; строительно-монтажным работам для собственного потребления.</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Налоговый вычет НДС производится после принятия на учет законченного строительством объекта в месяце, следующем за месяцем ввода его в эксплуатацию. Начислять НДС при строительстве для собственных нужд (п. 10 ст. 167 НК РФ) следует в конце каждого налогового периода (квартала).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«Входной» НДС по материалам, работам и услугам, использованным при </w:t>
      </w:r>
      <w:r>
        <w:rPr>
          <w:rFonts w:ascii="Times New Roman CYR" w:hAnsi="Times New Roman CYR" w:cs="Times New Roman CYR"/>
          <w:kern w:val="1"/>
          <w:sz w:val="28"/>
          <w:szCs w:val="28"/>
        </w:rPr>
        <w:lastRenderedPageBreak/>
        <w:t>строительстве, можно принять к вычету сразу же, как только эти материалы (работы и услуги) будут при</w:t>
      </w:r>
      <w:r w:rsidR="00377B40">
        <w:rPr>
          <w:rFonts w:ascii="Times New Roman CYR" w:hAnsi="Times New Roman CYR" w:cs="Times New Roman CYR"/>
          <w:kern w:val="1"/>
          <w:sz w:val="28"/>
          <w:szCs w:val="28"/>
        </w:rPr>
        <w:t>няты к учету. Например, ПАО</w:t>
      </w:r>
      <w:r>
        <w:rPr>
          <w:rFonts w:ascii="Times New Roman CYR" w:hAnsi="Times New Roman CYR" w:cs="Times New Roman CYR"/>
          <w:kern w:val="1"/>
          <w:sz w:val="28"/>
          <w:szCs w:val="28"/>
        </w:rPr>
        <w:t xml:space="preserve"> «Портнефтесервис» осуществляет хозяйственным способом строительство объекта основных средств, предназначенного для производства продукции, реализация которой облагается НДС. Затраты по строительству составили: стоимость материалов - 212400 руб., в том числе НДС -32400 руб.; заработная плата работников строительного подразделения - 500000 руб.; сумма единого социального налога от заработной платы - 130000 руб., страховые взносы на обязательное социальное страхование от несчастных случаев на производстве и профессиональных заболеваний -1500 руб ; амортизация основных средств, использованных при строительстве,-200 000 руб.; стоимость услуг сторонних организаций по строительству объекта-118 000 руб., в том числе НДС - 18 000 руб. Объект завершен строительством и принят к бухгалтерскому учету. Операции по строительству объекта основных средств хозяйственным способом в бухгалтерском учете организации отражаются следующими записями: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10 «Материалы»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60 «Расчеты с поставщиками и подрядчиками»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180 000 руб. (212 400 руб. - 32 400 руб.) - оприходованы на склад поступившие материалы;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19-3 «НДС по приобретенным материально-производственным запасам»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60 «Расчеты с поставщиками и подрядчиками»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32 400 руб. - отражен НДС по поступившим материалам;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10 «Материалы»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180 000 руб. - материалы переданы строительному подразделению;</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19-1 «НДС при приобретении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Кредит 19-3 «НДС по приобретенным материально-производственным запасам»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32 400 руб. - отражен НДС по переданным строительному подразделению материалам;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60 «Расчеты с поставщиками и подрядчиками»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100000 руб. (118 000 руб. - 18 000 руб.) - включена в затраты на строительство стоимость услуг сторонних организаций по строительству объекта;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19-1 «НДС при приобретении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60 «Расчеты с поставщиками и подрядчиками»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18 000 руб - учтен НДС по услугам сторонних организаций;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60 «Расчеты с поставщиками и подрядчиками»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51 «Расчетные счета»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330400 руб. (212400 руб. + 118000 руб.) - оплачена задолженность перед поставщиками;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70 «Расчеты с персоналом по оплате труда»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500 000 руб. - начислена заработная плата работникам строительного подразделения;</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69 «Расчеты по социальному страхованию и обеспечению»</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131500 руб. (130000 руб. + 1500 руб.) - начислен единый социальный налог и страховые взносы на обязательное социальное страхование от несчастных случаев на производстве и профессиональных заболеваний;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02 «Амортизация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lastRenderedPageBreak/>
        <w:t>200 000 руб. - начислена амортизация основных средств, использованных при строительстве;</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01 «Основные средства»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08-3 «Строительство объектов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1111500руб. (180000руб.+100000руб.+500000руб.+131500руб.+ 200000 руб.) - введен в эксплуатацию объект основных средств по первоначальной стоимости, равной сумме затрат на строительство (без НДС).</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По окончании строительства организация определяет сумму НДС, подлежащую уплате в бюджет исходя из всех фактически произведенных затрат на строительно-монтажные работы. По условию примера стоимость затрат равна 1111 500 руб. Сумма НДС, исчисленная от налоговой базы, составит 200 070 руб. (1 111 500 руб. х 18 %):</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19-1 «НДС при приобретении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68 «Расчеты по налогам и сборам», субсчет «Расчеты по НДС»</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200 070 руб. - начислена сумма НДС на строительно-монтажные работы, выполненные хозяйственным способом;</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68 «Расчеты по налогам и сборам», субсчет «Расчеты по НДС»</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51 «Расчетные счета»</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200 070 руб. - перечислена в бюджет сумма НДС;</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Дебет 68 «Расчеты по налогам и сборам», субсчет «Расчеты по НДС»</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Кредит 19-1 «НДС при приобретении основных средств»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250 470 руб. (32 400 руб. + 18 000 руб. + 200 070 руб.) - предъявлен к налоговому вычету НДС по выполненному хозяйственным способом строительству в месяце, следующем за месяцем ввода в эксплуатацию объекта.</w:t>
      </w:r>
    </w:p>
    <w:p w:rsidR="006802A9" w:rsidRDefault="006802A9"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6802A9" w:rsidRDefault="006802A9" w:rsidP="006802A9">
      <w:pPr>
        <w:pStyle w:val="2"/>
        <w:rPr>
          <w:kern w:val="1"/>
        </w:rPr>
      </w:pPr>
      <w:bookmarkStart w:id="8" w:name="_Toc500695266"/>
      <w:r>
        <w:rPr>
          <w:kern w:val="1"/>
        </w:rPr>
        <w:lastRenderedPageBreak/>
        <w:t>2.3 Раскрытие информации о вложениях во внеоборотные активы в бухгалтерской отчетности организации</w:t>
      </w:r>
      <w:bookmarkEnd w:id="8"/>
    </w:p>
    <w:p w:rsidR="006802A9" w:rsidRDefault="006802A9" w:rsidP="006802A9"/>
    <w:p w:rsidR="006802A9" w:rsidRP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Информация о вложениях во внеоборотные активы находит отражение в форме № 1 «Баланс предприятия», форме № 5 Приложение к бухгалтерскому балансу.</w:t>
      </w:r>
      <w:r>
        <w:rPr>
          <w:rFonts w:ascii="Times New Roman" w:hAnsi="Times New Roman"/>
          <w:sz w:val="28"/>
          <w:szCs w:val="28"/>
        </w:rPr>
        <w:t xml:space="preserve"> </w:t>
      </w:r>
      <w:r w:rsidRPr="006802A9">
        <w:rPr>
          <w:rFonts w:ascii="Times New Roman" w:hAnsi="Times New Roman"/>
          <w:sz w:val="28"/>
          <w:szCs w:val="28"/>
        </w:rPr>
        <w:t>При заполнении в бухгалтерском балансе статьи «Незавершенное строительство» следует руководствоваться:</w:t>
      </w:r>
    </w:p>
    <w:p w:rsidR="006802A9" w:rsidRPr="006802A9" w:rsidRDefault="006802A9" w:rsidP="006802A9">
      <w:pPr>
        <w:pStyle w:val="a8"/>
        <w:numPr>
          <w:ilvl w:val="0"/>
          <w:numId w:val="10"/>
        </w:numPr>
        <w:spacing w:line="360" w:lineRule="auto"/>
        <w:jc w:val="both"/>
        <w:rPr>
          <w:rFonts w:ascii="Times New Roman" w:hAnsi="Times New Roman"/>
          <w:sz w:val="28"/>
          <w:szCs w:val="28"/>
        </w:rPr>
      </w:pPr>
      <w:r w:rsidRPr="006802A9">
        <w:rPr>
          <w:rFonts w:ascii="Times New Roman" w:hAnsi="Times New Roman"/>
          <w:sz w:val="28"/>
          <w:szCs w:val="28"/>
        </w:rPr>
        <w:t>Положением по бухгалтерскому учету долгосрочных инвестиций, утвержденным Приказом Министерства финансов Российской Федерации от 30 декабря 1993 г. № 160;</w:t>
      </w:r>
    </w:p>
    <w:p w:rsidR="006802A9" w:rsidRPr="006802A9" w:rsidRDefault="006802A9" w:rsidP="006802A9">
      <w:pPr>
        <w:pStyle w:val="a8"/>
        <w:numPr>
          <w:ilvl w:val="0"/>
          <w:numId w:val="10"/>
        </w:numPr>
        <w:spacing w:line="360" w:lineRule="auto"/>
        <w:jc w:val="both"/>
        <w:rPr>
          <w:rFonts w:ascii="Times New Roman" w:hAnsi="Times New Roman"/>
          <w:sz w:val="28"/>
          <w:szCs w:val="28"/>
        </w:rPr>
      </w:pPr>
      <w:r w:rsidRPr="006802A9">
        <w:rPr>
          <w:rFonts w:ascii="Times New Roman" w:hAnsi="Times New Roman"/>
          <w:sz w:val="28"/>
          <w:szCs w:val="28"/>
        </w:rPr>
        <w:t>Положением по бухгалтерскому учету «Учет договоров строительного подряда», утвержденным Приказом Министерства финансов Российской Федераци</w:t>
      </w:r>
      <w:r>
        <w:rPr>
          <w:rFonts w:ascii="Times New Roman" w:hAnsi="Times New Roman"/>
          <w:sz w:val="28"/>
          <w:szCs w:val="28"/>
        </w:rPr>
        <w:t xml:space="preserve">и от 24 октября 2008 № 116н </w:t>
      </w:r>
      <w:r w:rsidRPr="006802A9">
        <w:rPr>
          <w:rFonts w:ascii="Times New Roman" w:hAnsi="Times New Roman"/>
          <w:sz w:val="28"/>
          <w:szCs w:val="28"/>
        </w:rPr>
        <w:t>.</w:t>
      </w:r>
    </w:p>
    <w:p w:rsidR="006802A9" w:rsidRP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Согласно ПБУ 2/2008 в бухгалтерской отчетности организации раскрывается следующая информация по договорам, исполнявшимся в отчетном периоде:</w:t>
      </w:r>
    </w:p>
    <w:p w:rsidR="006802A9" w:rsidRPr="006802A9" w:rsidRDefault="006802A9" w:rsidP="006802A9">
      <w:pPr>
        <w:pStyle w:val="a8"/>
        <w:numPr>
          <w:ilvl w:val="0"/>
          <w:numId w:val="11"/>
        </w:numPr>
        <w:spacing w:line="360" w:lineRule="auto"/>
        <w:jc w:val="both"/>
        <w:rPr>
          <w:rFonts w:ascii="Times New Roman" w:hAnsi="Times New Roman"/>
          <w:sz w:val="28"/>
          <w:szCs w:val="28"/>
        </w:rPr>
      </w:pPr>
      <w:r w:rsidRPr="006802A9">
        <w:rPr>
          <w:rFonts w:ascii="Times New Roman" w:hAnsi="Times New Roman"/>
          <w:sz w:val="28"/>
          <w:szCs w:val="28"/>
        </w:rPr>
        <w:t>сумма признанной в отчетном периоде выручки по договору;</w:t>
      </w:r>
    </w:p>
    <w:p w:rsidR="006802A9" w:rsidRPr="006802A9" w:rsidRDefault="006802A9" w:rsidP="006802A9">
      <w:pPr>
        <w:pStyle w:val="a8"/>
        <w:numPr>
          <w:ilvl w:val="0"/>
          <w:numId w:val="11"/>
        </w:numPr>
        <w:spacing w:line="360" w:lineRule="auto"/>
        <w:jc w:val="both"/>
        <w:rPr>
          <w:rFonts w:ascii="Times New Roman" w:hAnsi="Times New Roman"/>
          <w:sz w:val="28"/>
          <w:szCs w:val="28"/>
        </w:rPr>
      </w:pPr>
      <w:r w:rsidRPr="006802A9">
        <w:rPr>
          <w:rFonts w:ascii="Times New Roman" w:hAnsi="Times New Roman"/>
          <w:sz w:val="28"/>
          <w:szCs w:val="28"/>
        </w:rPr>
        <w:t>способы определения признанной в отчетном периоде выручки по договору.</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 xml:space="preserve">Так же в бухгалтерской отчетности организации раскрывается следующая информация по каждому договору, не завершенному на отчетную дату: общая сумма понесенных расходов и признанных прибылей (за вычетом признанных убытков) на отчетную дату; сумма полученной предварительной оплаты, авансов на отчетную дату; сумма за выполненные работы, не предъявленная </w:t>
      </w:r>
      <w:r w:rsidRPr="006802A9">
        <w:rPr>
          <w:rFonts w:ascii="Times New Roman" w:hAnsi="Times New Roman"/>
          <w:sz w:val="28"/>
          <w:szCs w:val="28"/>
        </w:rPr>
        <w:lastRenderedPageBreak/>
        <w:t>заказчику до выполнения определенных условий или до устранения выявленных недостатков работы на отчетную дату.</w:t>
      </w:r>
    </w:p>
    <w:p w:rsidR="006802A9" w:rsidRP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Разница между величиной, не предъявленной к оплате начисленной выручки, которая признана в отчете о прибылях и убытках за предыдущие и/или текущий отчетные периоды, и величиной начисленной выручки по предъявленным к оплате промежуточным счетам отражается, развернуто в бухгалтерском балансе организации:</w:t>
      </w:r>
    </w:p>
    <w:p w:rsidR="006802A9" w:rsidRPr="006802A9" w:rsidRDefault="006802A9" w:rsidP="006802A9">
      <w:pPr>
        <w:pStyle w:val="a8"/>
        <w:numPr>
          <w:ilvl w:val="0"/>
          <w:numId w:val="12"/>
        </w:numPr>
        <w:spacing w:line="360" w:lineRule="auto"/>
        <w:jc w:val="both"/>
        <w:rPr>
          <w:rFonts w:ascii="Times New Roman" w:hAnsi="Times New Roman"/>
          <w:sz w:val="28"/>
          <w:szCs w:val="28"/>
        </w:rPr>
      </w:pPr>
      <w:r w:rsidRPr="006802A9">
        <w:rPr>
          <w:rFonts w:ascii="Times New Roman" w:hAnsi="Times New Roman"/>
          <w:sz w:val="28"/>
          <w:szCs w:val="28"/>
        </w:rPr>
        <w:t>в качестве актива – не предъявленная к оплате начисленная выручка (если разница положительная);</w:t>
      </w:r>
    </w:p>
    <w:p w:rsidR="006802A9" w:rsidRPr="006802A9" w:rsidRDefault="006802A9" w:rsidP="006802A9">
      <w:pPr>
        <w:pStyle w:val="a8"/>
        <w:numPr>
          <w:ilvl w:val="0"/>
          <w:numId w:val="12"/>
        </w:numPr>
        <w:spacing w:line="360" w:lineRule="auto"/>
        <w:jc w:val="both"/>
        <w:rPr>
          <w:rFonts w:ascii="Times New Roman" w:hAnsi="Times New Roman"/>
          <w:sz w:val="28"/>
          <w:szCs w:val="28"/>
        </w:rPr>
      </w:pPr>
      <w:r w:rsidRPr="006802A9">
        <w:rPr>
          <w:rFonts w:ascii="Times New Roman" w:hAnsi="Times New Roman"/>
          <w:sz w:val="28"/>
          <w:szCs w:val="28"/>
        </w:rPr>
        <w:t>в качестве обязательства – задолженность перед заказчиками (</w:t>
      </w:r>
      <w:r>
        <w:rPr>
          <w:rFonts w:ascii="Times New Roman" w:hAnsi="Times New Roman"/>
          <w:sz w:val="28"/>
          <w:szCs w:val="28"/>
        </w:rPr>
        <w:t>если разница отрицательная)</w:t>
      </w:r>
      <w:r w:rsidRPr="006802A9">
        <w:rPr>
          <w:rFonts w:ascii="Times New Roman" w:hAnsi="Times New Roman"/>
          <w:sz w:val="28"/>
          <w:szCs w:val="28"/>
        </w:rPr>
        <w:t>.</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В бухгалтерском балансе по статье «Незавершенное строительство» отражаются затраты на строительно-монтажные работы (осуществляемые как хозяйственным, так и подрядным способами), приобретение зданий, оборудования, транспортных средств, инструмента, инвентаря, иных материальных объектов длительного пользования, прочие капитальные работы и затраты (проектно-изыскательские, геолого-разведочные и буровые работы, затраты по отводу земельных участков и переселению в связи со строительством, на подготовку кадров для вновь строящихся организаций и другие).</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По данной статье отражается стоимость объектов капитального строительства, находящихся во временной эксплуатации до ввода их в постоянную эксплуатацию, а также стоимость объектов недвижимого имущества, на которые отсутствуют документы, подтверждающие государственную регистрацию объектов недвижимости в установленных законодательством случаях.</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lastRenderedPageBreak/>
        <w:t>По указанной статье отражаются затраты по формированию основного стада, стоимость оборудования, требующего монтажа и предназначенного для установки.</w:t>
      </w:r>
      <w:r>
        <w:rPr>
          <w:rFonts w:ascii="Times New Roman" w:hAnsi="Times New Roman"/>
          <w:sz w:val="28"/>
          <w:szCs w:val="28"/>
        </w:rPr>
        <w:t xml:space="preserve"> </w:t>
      </w:r>
      <w:r w:rsidRPr="006802A9">
        <w:rPr>
          <w:rFonts w:ascii="Times New Roman" w:hAnsi="Times New Roman"/>
          <w:sz w:val="28"/>
          <w:szCs w:val="28"/>
        </w:rPr>
        <w:t>Незавершенные капитальные вложения отражаются в бухгалтерском балансе по фактическим затратам для застройщика (инвестора).</w:t>
      </w:r>
      <w:r>
        <w:rPr>
          <w:rFonts w:ascii="Times New Roman" w:hAnsi="Times New Roman"/>
          <w:sz w:val="28"/>
          <w:szCs w:val="28"/>
        </w:rPr>
        <w:t xml:space="preserve"> </w:t>
      </w:r>
      <w:r w:rsidRPr="006802A9">
        <w:rPr>
          <w:rFonts w:ascii="Times New Roman" w:hAnsi="Times New Roman"/>
          <w:sz w:val="28"/>
          <w:szCs w:val="28"/>
        </w:rPr>
        <w:t>В форме № 5 в Приложении к бухгалтерскому балансу в разделе «Основные средства» показываются капитальные вложения на коренное улучшение земель у организации на начало и конец отчетного года.</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В разделе «Расходы на научно-исследовательские, опытно-конструкторские технологические работы» показываются суммы расходов по незаконченным научно-исследовательским, опытно-конструкторским и технологическим работам на на</w:t>
      </w:r>
      <w:r>
        <w:rPr>
          <w:rFonts w:ascii="Times New Roman" w:hAnsi="Times New Roman"/>
          <w:sz w:val="28"/>
          <w:szCs w:val="28"/>
        </w:rPr>
        <w:t>чало и конец отчетного года</w:t>
      </w:r>
      <w:r w:rsidRPr="006802A9">
        <w:rPr>
          <w:rFonts w:ascii="Times New Roman" w:hAnsi="Times New Roman"/>
          <w:sz w:val="28"/>
          <w:szCs w:val="28"/>
        </w:rPr>
        <w:t>.</w:t>
      </w:r>
    </w:p>
    <w:p w:rsidR="006802A9" w:rsidRDefault="006802A9" w:rsidP="006802A9">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Таким образом, исходя из выше сказанного, можно сделать вывод, что вложения во внеоборотные активы играют немаловажную роль в формировании отчетности, а именно баланса предприятия.</w:t>
      </w:r>
    </w:p>
    <w:p w:rsidR="006802A9" w:rsidRDefault="006802A9" w:rsidP="006802A9">
      <w:pPr>
        <w:spacing w:line="360" w:lineRule="auto"/>
        <w:ind w:firstLine="709"/>
        <w:contextualSpacing/>
        <w:jc w:val="both"/>
        <w:rPr>
          <w:rFonts w:ascii="Times New Roman" w:hAnsi="Times New Roman"/>
          <w:sz w:val="28"/>
          <w:szCs w:val="28"/>
        </w:rPr>
      </w:pPr>
    </w:p>
    <w:p w:rsidR="006802A9" w:rsidRDefault="006802A9" w:rsidP="006802A9">
      <w:pPr>
        <w:pStyle w:val="2"/>
      </w:pPr>
      <w:bookmarkStart w:id="9" w:name="_Toc500695267"/>
      <w:r>
        <w:t>2.4 Использование информационных технологий для учета вложений во внеоборотные активы</w:t>
      </w:r>
      <w:bookmarkEnd w:id="9"/>
    </w:p>
    <w:p w:rsidR="006802A9" w:rsidRDefault="006802A9" w:rsidP="006802A9"/>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 xml:space="preserve">Важнейшей функцией бухгалтерии </w:t>
      </w:r>
      <w:r w:rsidR="0055681F">
        <w:rPr>
          <w:rFonts w:ascii="Times New Roman" w:hAnsi="Times New Roman"/>
          <w:sz w:val="28"/>
          <w:szCs w:val="28"/>
        </w:rPr>
        <w:t>ПАО «Портнефтесервис»</w:t>
      </w:r>
      <w:r w:rsidRPr="006802A9">
        <w:rPr>
          <w:rFonts w:ascii="Times New Roman" w:hAnsi="Times New Roman"/>
          <w:sz w:val="28"/>
          <w:szCs w:val="28"/>
        </w:rPr>
        <w:t xml:space="preserve"> является учет товароматериальных и денежных средств. От налаженной, четкой работы бухгалтерии зависит работа всего предприятия. Основным видом бухгалтерских работ на таких предприятиях является оформление документов при поступлении товароматериальных ценностей на предприятие, товарообороте внутри предприятия, отпуске готового продукта заказчикам, движении денежных средств.</w:t>
      </w:r>
      <w:r w:rsidR="0055681F">
        <w:rPr>
          <w:rFonts w:ascii="Times New Roman" w:hAnsi="Times New Roman"/>
          <w:sz w:val="28"/>
          <w:szCs w:val="28"/>
        </w:rPr>
        <w:t xml:space="preserve"> </w:t>
      </w:r>
      <w:r w:rsidRPr="006802A9">
        <w:rPr>
          <w:rFonts w:ascii="Times New Roman" w:hAnsi="Times New Roman"/>
          <w:sz w:val="28"/>
          <w:szCs w:val="28"/>
        </w:rPr>
        <w:t xml:space="preserve">Ведение бухгалтерского учета осуществляется в соответствии с нормативными документами, имеющими разный статус. Одни из них обязательны к применению (Закон "О бухгалтерском учете", положения по </w:t>
      </w:r>
      <w:r w:rsidRPr="006802A9">
        <w:rPr>
          <w:rFonts w:ascii="Times New Roman" w:hAnsi="Times New Roman"/>
          <w:sz w:val="28"/>
          <w:szCs w:val="28"/>
        </w:rPr>
        <w:lastRenderedPageBreak/>
        <w:t>бухгалтерскому учету), другие носят рекомендательный характер (План счетов, методические указания, комментарии).</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В зависимости от назначения и статуса нормативные документы представлены в виде следующей системы:</w:t>
      </w:r>
      <w:r w:rsidR="0055681F">
        <w:rPr>
          <w:rFonts w:ascii="Times New Roman" w:hAnsi="Times New Roman"/>
          <w:sz w:val="28"/>
          <w:szCs w:val="28"/>
        </w:rPr>
        <w:t xml:space="preserve"> </w:t>
      </w:r>
      <w:r w:rsidRPr="006802A9">
        <w:rPr>
          <w:rFonts w:ascii="Times New Roman" w:hAnsi="Times New Roman"/>
          <w:sz w:val="28"/>
          <w:szCs w:val="28"/>
        </w:rPr>
        <w:t>1-й уровень - законодательный: Закон "О бухгалтерском учете" и другие законы;</w:t>
      </w:r>
      <w:r w:rsidR="0055681F">
        <w:rPr>
          <w:rFonts w:ascii="Times New Roman" w:hAnsi="Times New Roman"/>
          <w:sz w:val="28"/>
          <w:szCs w:val="28"/>
        </w:rPr>
        <w:t xml:space="preserve"> </w:t>
      </w:r>
      <w:r w:rsidRPr="006802A9">
        <w:rPr>
          <w:rFonts w:ascii="Times New Roman" w:hAnsi="Times New Roman"/>
          <w:sz w:val="28"/>
          <w:szCs w:val="28"/>
        </w:rPr>
        <w:t>2-й уровень: стандарты (положения) по бухгалтерскому учету и отчетности;</w:t>
      </w:r>
      <w:r w:rsidR="0055681F">
        <w:rPr>
          <w:rFonts w:ascii="Times New Roman" w:hAnsi="Times New Roman"/>
          <w:sz w:val="28"/>
          <w:szCs w:val="28"/>
        </w:rPr>
        <w:t xml:space="preserve"> </w:t>
      </w:r>
      <w:r w:rsidRPr="006802A9">
        <w:rPr>
          <w:rFonts w:ascii="Times New Roman" w:hAnsi="Times New Roman"/>
          <w:sz w:val="28"/>
          <w:szCs w:val="28"/>
        </w:rPr>
        <w:t>3-й уровень: методические рекомендации (указания), инструкции, комментарии, письма Минфина РФ и других ведомств;</w:t>
      </w:r>
    </w:p>
    <w:p w:rsidR="006802A9" w:rsidRPr="006802A9" w:rsidRDefault="006802A9" w:rsidP="0055681F">
      <w:pPr>
        <w:spacing w:line="360" w:lineRule="auto"/>
        <w:contextualSpacing/>
        <w:jc w:val="both"/>
        <w:rPr>
          <w:rFonts w:ascii="Times New Roman" w:hAnsi="Times New Roman"/>
          <w:sz w:val="28"/>
          <w:szCs w:val="28"/>
        </w:rPr>
      </w:pPr>
      <w:r w:rsidRPr="006802A9">
        <w:rPr>
          <w:rFonts w:ascii="Times New Roman" w:hAnsi="Times New Roman"/>
          <w:sz w:val="28"/>
          <w:szCs w:val="28"/>
        </w:rPr>
        <w:t>4-й уровень: рабочие документы по бухгалтерскому учету самого предприятия.</w:t>
      </w:r>
    </w:p>
    <w:p w:rsidR="0055681F" w:rsidRDefault="006802A9" w:rsidP="0055681F">
      <w:pPr>
        <w:spacing w:line="360" w:lineRule="auto"/>
        <w:contextualSpacing/>
        <w:jc w:val="both"/>
        <w:rPr>
          <w:rFonts w:ascii="Times New Roman" w:hAnsi="Times New Roman"/>
          <w:sz w:val="28"/>
          <w:szCs w:val="28"/>
        </w:rPr>
      </w:pPr>
      <w:r w:rsidRPr="006802A9">
        <w:rPr>
          <w:rFonts w:ascii="Times New Roman" w:hAnsi="Times New Roman"/>
          <w:sz w:val="28"/>
          <w:szCs w:val="28"/>
        </w:rPr>
        <w:t>Бухгалтеры должны знать вышеперечисленные нормативные документы, чтобы осуществлять четкий контроль движения товароматериальных ценностей, вести правильно бухгалтерскую документацию и правильно оформлять налоговые документы. Особенно важно соблюдение правил ведения бухгалтерской отчетности при автоматизации работы бухгалтера по оформлению бухгалтерских документов. Важно, чтобы автоматизированное рабочее место (АРМ) не только ускоряло процесс составления документов, но и помогало бухгалтеру правильно оформлять документацию.</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 xml:space="preserve">Учетная документация — пока основной носитель экономической информации на предприятиях общественного питания. От того, каков объем информации, насколько формы документов соответствуют требованиям последующей обработки, во многом зависит уровень организации всей учетной работы. Формы документов, используемых для отражения операций по товарообороту и выполнению производственной программы, организация рационального документооборота в значительной мере влияют на достоверность учетных данных, возможность установления ответственности отдельных должностных лиц за исполнение каждой операции. Все это позволяет осуществлять как предварительный и текущий, так и последующий </w:t>
      </w:r>
      <w:r w:rsidRPr="006802A9">
        <w:rPr>
          <w:rFonts w:ascii="Times New Roman" w:hAnsi="Times New Roman"/>
          <w:sz w:val="28"/>
          <w:szCs w:val="28"/>
        </w:rPr>
        <w:lastRenderedPageBreak/>
        <w:t>контроль деятельности предприятия, полностью и своевременно отражать совершаемые операции.</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Основными для предприятия являются операции, касающиеся производства и реализации материалов. Контроль товаров, изготовления и реализации продукции базируется на первичной документации. Исследование ее состояния на предприятиях показывает, что эта документация и статистическая отчетность далеко не всегда соответствуют требованиям сегодняшнего дня. Разнообразные по форме, но одинаковые по содержанию документы, предусматривающие учет товарооборота и операций на производстве, не приспособлены во многих случаях к механизированной обработке. Это снижает эффективность применения техники, отрицательно сказывается на контрольно-аналитических функциях учета, затрудняет документооборот.</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Недостаточное внимание уделяется унификации и стандартизации первичных документов. Наиболее распространенные их виды, например счет-фактура, накладная, не унифицированы. Каждый поставщик, как правило, применяет свои формы таких документов, не учитывая то, как они будут использованы в дальнейшем. В большинстве случаев первичная документация заполняется вручную.</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Еще одним отрицательным моментом бухгалтерского учета товарооборота и процессов производства на предприятиях является его недостаточная оперативность. Для ее устранения необходимо автоматизировать работу бухгалтера, но для этого на начальном этапе надо привести однородные документы к определенной форме.</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 xml:space="preserve">Внедрение средств автоматизации для работы главного бухгалтера позволит сократить затраты времени на обработку, создание, исправление </w:t>
      </w:r>
      <w:r w:rsidRPr="006802A9">
        <w:rPr>
          <w:rFonts w:ascii="Times New Roman" w:hAnsi="Times New Roman"/>
          <w:sz w:val="28"/>
          <w:szCs w:val="28"/>
        </w:rPr>
        <w:lastRenderedPageBreak/>
        <w:t>бухгалтерской документации, что, в свою очередь, должно привести к улучшению качества документационного обеспечения работы бухгалтерии.</w:t>
      </w:r>
    </w:p>
    <w:p w:rsidR="006802A9" w:rsidRPr="006802A9" w:rsidRDefault="006802A9" w:rsidP="0055681F">
      <w:pPr>
        <w:spacing w:line="360" w:lineRule="auto"/>
        <w:ind w:firstLine="709"/>
        <w:contextualSpacing/>
        <w:jc w:val="both"/>
        <w:rPr>
          <w:rFonts w:ascii="Times New Roman" w:hAnsi="Times New Roman"/>
          <w:sz w:val="28"/>
          <w:szCs w:val="28"/>
        </w:rPr>
      </w:pPr>
      <w:r w:rsidRPr="006802A9">
        <w:rPr>
          <w:rFonts w:ascii="Times New Roman" w:hAnsi="Times New Roman"/>
          <w:sz w:val="28"/>
          <w:szCs w:val="28"/>
        </w:rPr>
        <w:t>Автоматизированная система бухгалтерия предприятия предназначена для составления и оформления документации при поступлении материалов; документов, подтверждающих товарооборот и отпуск готовой продукции; регистрации документов, хранения данных, имеющих наибольшее значение для предприятия, хранения документов на машинном носителе.</w:t>
      </w:r>
    </w:p>
    <w:p w:rsidR="00AD2A8F" w:rsidRDefault="00AD2A8F"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w:hAnsi="Times New Roman"/>
          <w:sz w:val="28"/>
          <w:szCs w:val="28"/>
        </w:rPr>
      </w:pPr>
    </w:p>
    <w:p w:rsidR="006802A9" w:rsidRDefault="006802A9"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55681F" w:rsidRDefault="0055681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6802A9">
      <w:pPr>
        <w:widowControl w:val="0"/>
        <w:suppressAutoHyphens/>
        <w:autoSpaceDE w:val="0"/>
        <w:autoSpaceDN w:val="0"/>
        <w:adjustRightInd w:val="0"/>
        <w:spacing w:after="0" w:line="360" w:lineRule="auto"/>
        <w:jc w:val="both"/>
        <w:rPr>
          <w:kern w:val="1"/>
        </w:rPr>
      </w:pPr>
    </w:p>
    <w:p w:rsidR="00AD2A8F" w:rsidRDefault="00AD2A8F" w:rsidP="00AD2A8F">
      <w:pPr>
        <w:pStyle w:val="1"/>
        <w:rPr>
          <w:kern w:val="1"/>
        </w:rPr>
      </w:pPr>
      <w:bookmarkStart w:id="10" w:name="_Toc500695268"/>
      <w:r>
        <w:rPr>
          <w:kern w:val="1"/>
        </w:rPr>
        <w:lastRenderedPageBreak/>
        <w:t>ЗАКЛЮЧЕНИЕ</w:t>
      </w:r>
      <w:bookmarkEnd w:id="10"/>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Таким образом, в данной курсовой работе была достигнута её цель: подробно рассмотрено понятие «долгосрочные инвестиции», а именно - учет вложений во внеоборотные активы.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Представляя собой важнейшую и значительную часть национального богатства страны, внеоборотные активы характеризуют материальную базу, технический уровень производства, а капитальные вложения во внеоборотные активы обеспечивают качественные сдвиги в экономике - рост экономического потенциала страны, повышение конкурентоспособности производимой продукции на внутреннем и внешнем рынках, повышение технического уровня отраслей народного хозяйства, повышение благосостояния и экологическую защиту здоровья населения страны.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Вложения в нефинансовые активы являются довольно обширным понятием и включают: инвестиции в основные средства, нематериальные активы, приобретение новых объектов природопользования, формирование стада продуктивного и рабочего скота, приобретение земельных участков.</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Основным способом поступления внеоборотных активов в организацию источники вложения - приобретение, создание активов, либо расширение, реконструкция, техническое перевооружение.</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Немаловажным условием инвестиционных проектов является наличие источников средств для их осуществления. И основным источником на сегодняшний день является прибыль, оставшаяся в распоряжении организации.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заключении курсовой работы сделаем следующие выводы:</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 xml:space="preserve"> Долгосрочные активы представляют собой затраты или вложения средств с целью создания или приобретения объектов длительного использования (на срок не менее одного года) и не предназначенных, в рамках оперативного </w:t>
      </w:r>
      <w:r>
        <w:rPr>
          <w:rFonts w:ascii="Times New Roman CYR" w:hAnsi="Times New Roman CYR" w:cs="Times New Roman CYR"/>
          <w:kern w:val="1"/>
          <w:sz w:val="28"/>
          <w:szCs w:val="28"/>
        </w:rPr>
        <w:lastRenderedPageBreak/>
        <w:t>планирования для продажи.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Бухгалтерский учет долгосрочных инвестиций в своем настоящем виде вполне удовлетворяет требованиям нормативных актов регламентирующих бухгалтерский учет. Правила формирования первоначальной стоимости объектов основных средств и затраты на их модификацию и реконструкцию, относящиеся на увеличение их стоимости, позволяют вести контроль над процессом формирования и списания расходов произведенных в рамках долгосрочных вложений.</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В практике учета капитальных вложений их стоимость формируется через принятие к учету затрат на их приобретение. Поэтому, стоимость инвестиций во внеоборотные активы представляет собой сумму материальных, трудовых средств и иных затрат необходимых для создания объекта инвестирования или завершение его создания на каком либо этапе развития (частично готовым к введению в действие, завершение строительства первой очереди).</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Процесс учета долгосрочных инвестиций в значительной мере состоит из учета затрат на их проведение, контроля над этими затратами, их списание на соответствующие счета бухгалтерского учета в строгом соответствии с требованиями нормативных документов, регулирующих бухгалтерский учет и налоговое законодательство.</w:t>
      </w:r>
    </w:p>
    <w:p w:rsidR="00AD2A8F" w:rsidRDefault="00AD2A8F" w:rsidP="00AD2A8F">
      <w:pPr>
        <w:widowControl w:val="0"/>
        <w:suppressAutoHyphens/>
        <w:autoSpaceDE w:val="0"/>
        <w:autoSpaceDN w:val="0"/>
        <w:adjustRightInd w:val="0"/>
        <w:spacing w:after="0" w:line="360" w:lineRule="auto"/>
        <w:ind w:firstLine="709"/>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Была рассмотрена деятельность предприятия  ПАО «Портнефтесервис», при этом использовалась бухгалтерская отчетность предприятия.</w:t>
      </w:r>
    </w:p>
    <w:p w:rsidR="00B53C0F" w:rsidRDefault="00AD2A8F" w:rsidP="00B53C0F">
      <w:pPr>
        <w:widowControl w:val="0"/>
        <w:suppressAutoHyphens/>
        <w:autoSpaceDE w:val="0"/>
        <w:autoSpaceDN w:val="0"/>
        <w:adjustRightInd w:val="0"/>
        <w:spacing w:after="0" w:line="360" w:lineRule="auto"/>
        <w:ind w:firstLine="709"/>
        <w:jc w:val="both"/>
        <w:rPr>
          <w:kern w:val="1"/>
        </w:rPr>
      </w:pPr>
      <w:r>
        <w:rPr>
          <w:rFonts w:ascii="Times New Roman CYR" w:hAnsi="Times New Roman CYR" w:cs="Times New Roman CYR"/>
          <w:kern w:val="1"/>
          <w:sz w:val="28"/>
          <w:szCs w:val="28"/>
        </w:rPr>
        <w:t>В результате проведенной работы были раскрыты понятие, состав и классификация вложений во внеоборотные активы. Изучена методика бухгалтерского учета вложений во внеоборотные активы. Рассмотрены особенности учета строительных работ, выполненных хозяйственным и подрядным способами, а также учет кредитов и займов, полученных для осуществления строительных работ.</w:t>
      </w:r>
      <w:bookmarkStart w:id="11" w:name="_Toc500695269"/>
    </w:p>
    <w:p w:rsidR="00AD2A8F" w:rsidRDefault="00AD2A8F" w:rsidP="00B53C0F">
      <w:pPr>
        <w:widowControl w:val="0"/>
        <w:suppressAutoHyphens/>
        <w:autoSpaceDE w:val="0"/>
        <w:autoSpaceDN w:val="0"/>
        <w:adjustRightInd w:val="0"/>
        <w:spacing w:after="0" w:line="360" w:lineRule="auto"/>
        <w:ind w:firstLine="709"/>
        <w:jc w:val="center"/>
        <w:rPr>
          <w:kern w:val="1"/>
        </w:rPr>
      </w:pPr>
      <w:r w:rsidRPr="006910DF">
        <w:rPr>
          <w:rStyle w:val="10"/>
        </w:rPr>
        <w:lastRenderedPageBreak/>
        <w:t>СПИСОК ИСПОЛЬЗОВАННОЙ ЛИТЕРАТУРЫ</w:t>
      </w:r>
      <w:bookmarkEnd w:id="11"/>
    </w:p>
    <w:p w:rsidR="00AD2A8F" w:rsidRPr="00705425" w:rsidRDefault="00AD2A8F" w:rsidP="00AD2A8F"/>
    <w:p w:rsidR="00786F86" w:rsidRPr="005E4206" w:rsidRDefault="00AD2A8F" w:rsidP="00786F86">
      <w:pPr>
        <w:jc w:val="center"/>
        <w:rPr>
          <w:rFonts w:ascii="Times New Roman" w:hAnsi="Times New Roman"/>
          <w:b/>
          <w:sz w:val="28"/>
          <w:szCs w:val="28"/>
        </w:rPr>
      </w:pPr>
      <w:r>
        <w:rPr>
          <w:rFonts w:ascii="Times New Roman" w:hAnsi="Times New Roman"/>
          <w:b/>
          <w:sz w:val="28"/>
          <w:szCs w:val="28"/>
        </w:rPr>
        <w:t>Нормативно – правовые акты:</w:t>
      </w:r>
      <w:r w:rsidR="00377B40" w:rsidRPr="005E4206">
        <w:rPr>
          <w:rFonts w:ascii="Times New Roman" w:hAnsi="Times New Roman"/>
          <w:b/>
          <w:sz w:val="28"/>
          <w:szCs w:val="28"/>
        </w:rPr>
        <w:t xml:space="preserve"> </w:t>
      </w:r>
    </w:p>
    <w:p w:rsidR="00786F86" w:rsidRPr="00FE01B2" w:rsidRDefault="00786F86" w:rsidP="00786F86">
      <w:pPr>
        <w:pStyle w:val="a8"/>
        <w:widowControl w:val="0"/>
        <w:numPr>
          <w:ilvl w:val="0"/>
          <w:numId w:val="7"/>
        </w:numPr>
        <w:spacing w:after="0" w:line="360" w:lineRule="auto"/>
        <w:jc w:val="both"/>
        <w:rPr>
          <w:rFonts w:ascii="Times New Roman" w:hAnsi="Times New Roman"/>
          <w:sz w:val="28"/>
          <w:szCs w:val="28"/>
          <w:lang w:eastAsia="ru-RU"/>
        </w:rPr>
      </w:pPr>
      <w:r w:rsidRPr="00FE01B2">
        <w:rPr>
          <w:rFonts w:ascii="Times New Roman" w:hAnsi="Times New Roman"/>
          <w:sz w:val="28"/>
          <w:szCs w:val="28"/>
          <w:lang w:eastAsia="ru-RU"/>
        </w:rPr>
        <w:t>Гражданский кодекс Росс</w:t>
      </w:r>
      <w:r>
        <w:rPr>
          <w:rFonts w:ascii="Times New Roman" w:hAnsi="Times New Roman"/>
          <w:sz w:val="28"/>
          <w:szCs w:val="28"/>
          <w:lang w:eastAsia="ru-RU"/>
        </w:rPr>
        <w:t>ийской Федерации</w:t>
      </w:r>
      <w:r w:rsidRPr="00FE01B2">
        <w:rPr>
          <w:rFonts w:ascii="Times New Roman" w:hAnsi="Times New Roman"/>
          <w:sz w:val="28"/>
          <w:szCs w:val="28"/>
          <w:lang w:eastAsia="ru-RU"/>
        </w:rPr>
        <w:t xml:space="preserve"> от 30.11.1994 N 51-ФЗ (принят ГД ФС РФ 21</w:t>
      </w:r>
      <w:r>
        <w:rPr>
          <w:rFonts w:ascii="Times New Roman" w:hAnsi="Times New Roman"/>
          <w:sz w:val="28"/>
          <w:szCs w:val="28"/>
          <w:lang w:eastAsia="ru-RU"/>
        </w:rPr>
        <w:t>.10.1994) (ред. от 20.07.2017</w:t>
      </w:r>
      <w:r w:rsidRPr="00FE01B2">
        <w:rPr>
          <w:rFonts w:ascii="Times New Roman" w:hAnsi="Times New Roman"/>
          <w:sz w:val="28"/>
          <w:szCs w:val="28"/>
          <w:lang w:eastAsia="ru-RU"/>
        </w:rPr>
        <w:t>)</w:t>
      </w:r>
      <w:r>
        <w:rPr>
          <w:rFonts w:ascii="Times New Roman" w:hAnsi="Times New Roman"/>
          <w:sz w:val="28"/>
          <w:szCs w:val="28"/>
          <w:lang w:eastAsia="ru-RU"/>
        </w:rPr>
        <w:t xml:space="preserve"> // Собрание законодательства ст. 3315.</w:t>
      </w:r>
    </w:p>
    <w:p w:rsidR="00786F86" w:rsidRDefault="00786F86" w:rsidP="00786F86">
      <w:pPr>
        <w:pStyle w:val="a8"/>
        <w:widowControl w:val="0"/>
        <w:numPr>
          <w:ilvl w:val="0"/>
          <w:numId w:val="7"/>
        </w:numPr>
        <w:spacing w:after="0" w:line="360" w:lineRule="auto"/>
        <w:jc w:val="both"/>
        <w:rPr>
          <w:rFonts w:ascii="Times New Roman" w:hAnsi="Times New Roman"/>
          <w:sz w:val="28"/>
          <w:szCs w:val="28"/>
          <w:lang w:eastAsia="ru-RU"/>
        </w:rPr>
      </w:pPr>
      <w:r w:rsidRPr="00FE01B2">
        <w:rPr>
          <w:rFonts w:ascii="Times New Roman" w:hAnsi="Times New Roman"/>
          <w:sz w:val="28"/>
          <w:szCs w:val="28"/>
          <w:lang w:eastAsia="ru-RU"/>
        </w:rPr>
        <w:t>Налоговый кодекс Росс</w:t>
      </w:r>
      <w:r>
        <w:rPr>
          <w:rFonts w:ascii="Times New Roman" w:hAnsi="Times New Roman"/>
          <w:sz w:val="28"/>
          <w:szCs w:val="28"/>
          <w:lang w:eastAsia="ru-RU"/>
        </w:rPr>
        <w:t>ийской Федерации</w:t>
      </w:r>
      <w:r w:rsidRPr="00FE01B2">
        <w:rPr>
          <w:rFonts w:ascii="Times New Roman" w:hAnsi="Times New Roman"/>
          <w:sz w:val="28"/>
          <w:szCs w:val="28"/>
          <w:lang w:eastAsia="ru-RU"/>
        </w:rPr>
        <w:t xml:space="preserve"> от 31.07.1998 N 146-ФЗ (принят ГД ФС РФ 16.07.1998) (ред. от 29.12.2009) (с изм. и доп., вступающими в силу с 01.01.2010)</w:t>
      </w:r>
      <w:r>
        <w:rPr>
          <w:rFonts w:ascii="Times New Roman" w:hAnsi="Times New Roman"/>
          <w:sz w:val="28"/>
          <w:szCs w:val="28"/>
          <w:lang w:eastAsia="ru-RU"/>
        </w:rPr>
        <w:t xml:space="preserve"> // Собрание законодательства РФ ст. 4432.</w:t>
      </w:r>
    </w:p>
    <w:p w:rsidR="00786F86" w:rsidRPr="005E4206" w:rsidRDefault="00786F86" w:rsidP="00786F86">
      <w:pPr>
        <w:pStyle w:val="a7"/>
        <w:widowControl w:val="0"/>
        <w:numPr>
          <w:ilvl w:val="0"/>
          <w:numId w:val="7"/>
        </w:numPr>
        <w:spacing w:before="0" w:beforeAutospacing="0" w:after="0" w:afterAutospacing="0" w:line="360" w:lineRule="auto"/>
        <w:jc w:val="both"/>
        <w:rPr>
          <w:sz w:val="28"/>
          <w:szCs w:val="28"/>
        </w:rPr>
      </w:pPr>
      <w:r w:rsidRPr="005E4206">
        <w:rPr>
          <w:sz w:val="28"/>
          <w:szCs w:val="28"/>
        </w:rPr>
        <w:t xml:space="preserve">Федеральный закон </w:t>
      </w:r>
      <w:r>
        <w:rPr>
          <w:sz w:val="28"/>
          <w:szCs w:val="28"/>
        </w:rPr>
        <w:t>«О</w:t>
      </w:r>
      <w:r w:rsidRPr="005E4206">
        <w:rPr>
          <w:sz w:val="28"/>
          <w:szCs w:val="28"/>
        </w:rPr>
        <w:t xml:space="preserve"> бухгалтерском учете</w:t>
      </w:r>
      <w:r>
        <w:rPr>
          <w:sz w:val="28"/>
          <w:szCs w:val="28"/>
        </w:rPr>
        <w:t>»</w:t>
      </w:r>
      <w:r w:rsidRPr="005E4206">
        <w:rPr>
          <w:sz w:val="28"/>
          <w:szCs w:val="28"/>
        </w:rPr>
        <w:t xml:space="preserve"> № 402-ФЗ от 06.12.2011</w:t>
      </w:r>
      <w:r>
        <w:rPr>
          <w:sz w:val="28"/>
          <w:szCs w:val="28"/>
        </w:rPr>
        <w:t xml:space="preserve"> // Российская газета от 15.01.2012.</w:t>
      </w:r>
    </w:p>
    <w:p w:rsidR="00786F86" w:rsidRPr="00FE01B2" w:rsidRDefault="00786F86" w:rsidP="00786F86">
      <w:pPr>
        <w:pStyle w:val="a8"/>
        <w:widowControl w:val="0"/>
        <w:numPr>
          <w:ilvl w:val="0"/>
          <w:numId w:val="7"/>
        </w:numPr>
        <w:spacing w:after="0" w:line="360" w:lineRule="auto"/>
        <w:jc w:val="both"/>
        <w:rPr>
          <w:rFonts w:ascii="Times New Roman" w:hAnsi="Times New Roman"/>
          <w:sz w:val="28"/>
          <w:szCs w:val="28"/>
          <w:lang w:eastAsia="ru-RU"/>
        </w:rPr>
      </w:pPr>
      <w:r w:rsidRPr="00FE01B2">
        <w:rPr>
          <w:rFonts w:ascii="Times New Roman" w:hAnsi="Times New Roman"/>
          <w:sz w:val="28"/>
          <w:szCs w:val="28"/>
          <w:lang w:eastAsia="ru-RU"/>
        </w:rPr>
        <w:t>Приказ Минфина РФ от 31.10.2000 N 94н (ред. от 18.09.2006) "Об утверждении Плана счетов бухгалтерского учета финансово-хозяйственной деятельности организаций и Инструкции по его применению" Раздел IV. Готовая продукция и товары</w:t>
      </w:r>
      <w:r>
        <w:rPr>
          <w:rFonts w:ascii="Times New Roman" w:hAnsi="Times New Roman"/>
          <w:sz w:val="28"/>
          <w:szCs w:val="28"/>
          <w:lang w:eastAsia="ru-RU"/>
        </w:rPr>
        <w:t xml:space="preserve"> // Российская газета от 10.10. 2006.</w:t>
      </w: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AD2A8F" w:rsidRDefault="00AD2A8F" w:rsidP="00786F86">
      <w:pPr>
        <w:widowControl w:val="0"/>
        <w:suppressAutoHyphens/>
        <w:autoSpaceDE w:val="0"/>
        <w:autoSpaceDN w:val="0"/>
        <w:adjustRightInd w:val="0"/>
        <w:spacing w:after="0" w:line="360" w:lineRule="auto"/>
        <w:jc w:val="center"/>
        <w:rPr>
          <w:rFonts w:ascii="Times New Roman CYR" w:hAnsi="Times New Roman CYR" w:cs="Times New Roman CYR"/>
          <w:b/>
          <w:kern w:val="1"/>
          <w:sz w:val="28"/>
          <w:szCs w:val="28"/>
        </w:rPr>
      </w:pPr>
      <w:r>
        <w:rPr>
          <w:rFonts w:ascii="Times New Roman CYR" w:hAnsi="Times New Roman CYR" w:cs="Times New Roman CYR"/>
          <w:b/>
          <w:kern w:val="1"/>
          <w:sz w:val="28"/>
          <w:szCs w:val="28"/>
        </w:rPr>
        <w:t>Учебная</w:t>
      </w:r>
      <w:r w:rsidR="00A23768">
        <w:rPr>
          <w:rFonts w:ascii="Times New Roman CYR" w:hAnsi="Times New Roman CYR" w:cs="Times New Roman CYR"/>
          <w:b/>
          <w:kern w:val="1"/>
          <w:sz w:val="28"/>
          <w:szCs w:val="28"/>
        </w:rPr>
        <w:t xml:space="preserve"> - методическая</w:t>
      </w:r>
      <w:r>
        <w:rPr>
          <w:rFonts w:ascii="Times New Roman CYR" w:hAnsi="Times New Roman CYR" w:cs="Times New Roman CYR"/>
          <w:b/>
          <w:kern w:val="1"/>
          <w:sz w:val="28"/>
          <w:szCs w:val="28"/>
        </w:rPr>
        <w:t xml:space="preserve"> литература:</w:t>
      </w:r>
    </w:p>
    <w:p w:rsidR="000F2278" w:rsidRDefault="0038310D" w:rsidP="00786F86">
      <w:pPr>
        <w:numPr>
          <w:ilvl w:val="0"/>
          <w:numId w:val="7"/>
        </w:numPr>
        <w:spacing w:line="360" w:lineRule="auto"/>
        <w:ind w:left="357" w:hanging="357"/>
        <w:contextualSpacing/>
        <w:jc w:val="both"/>
        <w:rPr>
          <w:rFonts w:ascii="Times New Roman" w:hAnsi="Times New Roman"/>
          <w:sz w:val="28"/>
          <w:szCs w:val="28"/>
        </w:rPr>
      </w:pPr>
      <w:r>
        <w:rPr>
          <w:rFonts w:ascii="Times New Roman" w:hAnsi="Times New Roman"/>
          <w:sz w:val="28"/>
          <w:szCs w:val="28"/>
        </w:rPr>
        <w:t>Агаркова </w:t>
      </w:r>
      <w:r w:rsidR="000F2278">
        <w:rPr>
          <w:rFonts w:ascii="Times New Roman" w:hAnsi="Times New Roman"/>
          <w:sz w:val="28"/>
          <w:szCs w:val="28"/>
        </w:rPr>
        <w:t>Л.</w:t>
      </w:r>
      <w:r>
        <w:rPr>
          <w:rFonts w:ascii="Times New Roman" w:hAnsi="Times New Roman"/>
          <w:sz w:val="28"/>
          <w:szCs w:val="28"/>
        </w:rPr>
        <w:t> </w:t>
      </w:r>
      <w:r w:rsidR="000F2278" w:rsidRPr="000F2278">
        <w:rPr>
          <w:rFonts w:ascii="Times New Roman" w:hAnsi="Times New Roman"/>
          <w:sz w:val="28"/>
          <w:szCs w:val="28"/>
        </w:rPr>
        <w:t>В</w:t>
      </w:r>
      <w:r w:rsidR="000F2278">
        <w:rPr>
          <w:rFonts w:ascii="Times New Roman" w:hAnsi="Times New Roman"/>
          <w:sz w:val="28"/>
          <w:szCs w:val="28"/>
        </w:rPr>
        <w:t>.</w:t>
      </w:r>
      <w:r>
        <w:rPr>
          <w:rFonts w:ascii="Times New Roman" w:hAnsi="Times New Roman"/>
          <w:sz w:val="28"/>
          <w:szCs w:val="28"/>
        </w:rPr>
        <w:t> Отражение в бухгалтерском учете вложений во </w:t>
      </w:r>
      <w:r w:rsidR="000F2278" w:rsidRPr="000F2278">
        <w:rPr>
          <w:rFonts w:ascii="Times New Roman" w:hAnsi="Times New Roman"/>
          <w:sz w:val="28"/>
          <w:szCs w:val="28"/>
        </w:rPr>
        <w:t>внеоборо</w:t>
      </w:r>
      <w:r>
        <w:rPr>
          <w:rFonts w:ascii="Times New Roman" w:hAnsi="Times New Roman"/>
          <w:sz w:val="28"/>
          <w:szCs w:val="28"/>
        </w:rPr>
        <w:t>тны активы // Kant. </w:t>
      </w:r>
      <w:r w:rsidR="000F2278">
        <w:rPr>
          <w:rFonts w:ascii="Times New Roman" w:hAnsi="Times New Roman"/>
          <w:sz w:val="28"/>
          <w:szCs w:val="28"/>
        </w:rPr>
        <w:t>2014</w:t>
      </w:r>
      <w:r>
        <w:rPr>
          <w:rFonts w:ascii="Times New Roman" w:hAnsi="Times New Roman"/>
          <w:sz w:val="28"/>
          <w:szCs w:val="28"/>
        </w:rPr>
        <w:t>. </w:t>
      </w:r>
      <w:r w:rsidR="000F2278" w:rsidRPr="000F2278">
        <w:rPr>
          <w:rFonts w:ascii="Times New Roman" w:hAnsi="Times New Roman"/>
          <w:sz w:val="28"/>
          <w:szCs w:val="28"/>
        </w:rPr>
        <w:t>№</w:t>
      </w:r>
      <w:r>
        <w:rPr>
          <w:rFonts w:ascii="Times New Roman" w:hAnsi="Times New Roman"/>
          <w:sz w:val="28"/>
          <w:szCs w:val="28"/>
        </w:rPr>
        <w:t>3. С.73</w:t>
      </w:r>
      <w:r w:rsidR="000F2278">
        <w:rPr>
          <w:rFonts w:ascii="Times New Roman" w:hAnsi="Times New Roman"/>
          <w:sz w:val="28"/>
          <w:szCs w:val="28"/>
        </w:rPr>
        <w:t>.</w:t>
      </w:r>
      <w:r>
        <w:rPr>
          <w:rFonts w:ascii="Times New Roman" w:hAnsi="Times New Roman"/>
          <w:sz w:val="28"/>
          <w:szCs w:val="28"/>
        </w:rPr>
        <w:t>  Режим доступа: </w:t>
      </w:r>
      <w:r w:rsidRPr="0038310D">
        <w:rPr>
          <w:rFonts w:ascii="Times New Roman" w:hAnsi="Times New Roman"/>
          <w:sz w:val="28"/>
          <w:szCs w:val="28"/>
        </w:rPr>
        <w:t>https://assistentus.ru/buhuchet/budzhetnyj-uchet/</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 xml:space="preserve">Андреева, Т.В. Основы бухгалтерского учета и формирования бухгалтерской (финансовой) отчетности. </w:t>
      </w:r>
      <w:r>
        <w:rPr>
          <w:rFonts w:ascii="Times New Roman" w:hAnsi="Times New Roman"/>
          <w:sz w:val="28"/>
          <w:szCs w:val="28"/>
        </w:rPr>
        <w:t xml:space="preserve">М. : ФЛИНТА, 2016. — 176 с. </w:t>
      </w:r>
      <w:r w:rsidR="00A23768">
        <w:rPr>
          <w:rFonts w:ascii="Times New Roman" w:hAnsi="Times New Roman"/>
          <w:sz w:val="28"/>
          <w:szCs w:val="28"/>
        </w:rPr>
        <w:t xml:space="preserve">– Режим доступа: </w:t>
      </w:r>
      <w:r w:rsidR="00A23768" w:rsidRPr="00A23768">
        <w:rPr>
          <w:rFonts w:ascii="Times New Roman" w:hAnsi="Times New Roman"/>
          <w:sz w:val="28"/>
          <w:szCs w:val="28"/>
        </w:rPr>
        <w:t>https://buhguru.com/buhuchet/plan-schetov-s-29-oktyabra.html</w:t>
      </w:r>
    </w:p>
    <w:p w:rsidR="000F2278"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Бабаев Ю.А. Бухгалтерский учет. / Ю.А.</w:t>
      </w:r>
      <w:r>
        <w:rPr>
          <w:rFonts w:ascii="Times New Roman" w:hAnsi="Times New Roman"/>
          <w:sz w:val="28"/>
          <w:szCs w:val="28"/>
        </w:rPr>
        <w:t xml:space="preserve"> </w:t>
      </w:r>
      <w:r w:rsidRPr="00786F86">
        <w:rPr>
          <w:rFonts w:ascii="Times New Roman" w:hAnsi="Times New Roman"/>
          <w:sz w:val="28"/>
          <w:szCs w:val="28"/>
        </w:rPr>
        <w:t>Бабаев, Л.А. Мельникова</w:t>
      </w:r>
      <w:r>
        <w:rPr>
          <w:rFonts w:ascii="Times New Roman" w:hAnsi="Times New Roman"/>
          <w:sz w:val="28"/>
          <w:szCs w:val="28"/>
        </w:rPr>
        <w:t xml:space="preserve">, </w:t>
      </w:r>
      <w:r w:rsidRPr="00786F86">
        <w:rPr>
          <w:rFonts w:ascii="Times New Roman" w:hAnsi="Times New Roman"/>
          <w:sz w:val="28"/>
          <w:szCs w:val="28"/>
        </w:rPr>
        <w:t>М. : Проспект, 2015. — 424</w:t>
      </w:r>
      <w:r>
        <w:rPr>
          <w:rFonts w:ascii="Times New Roman" w:hAnsi="Times New Roman"/>
          <w:sz w:val="28"/>
          <w:szCs w:val="28"/>
        </w:rPr>
        <w:t xml:space="preserve"> с.</w:t>
      </w:r>
      <w:r w:rsidR="00A23768">
        <w:rPr>
          <w:rFonts w:ascii="Times New Roman" w:hAnsi="Times New Roman"/>
          <w:sz w:val="28"/>
          <w:szCs w:val="28"/>
        </w:rPr>
        <w:t xml:space="preserve"> Режим доступа: </w:t>
      </w:r>
      <w:r w:rsidR="00A23768" w:rsidRPr="00A23768">
        <w:rPr>
          <w:rFonts w:ascii="Times New Roman" w:hAnsi="Times New Roman"/>
          <w:sz w:val="28"/>
          <w:szCs w:val="28"/>
        </w:rPr>
        <w:t>http://buhuchetpro.ru/buhgalterskij-uchet-v-bjudzhetnyh-organizacijah/</w:t>
      </w:r>
    </w:p>
    <w:p w:rsidR="000F2278"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lastRenderedPageBreak/>
        <w:t xml:space="preserve">Бухгалтерский (финансовый, управленческий) учет: учебник / Н. П. Кондраков. - 3-е изд., перераб. и доп. - М. : Проспект, 2013. - 496 с. </w:t>
      </w:r>
      <w:r w:rsidR="00A23768">
        <w:rPr>
          <w:rFonts w:ascii="Times New Roman" w:hAnsi="Times New Roman"/>
          <w:sz w:val="28"/>
          <w:szCs w:val="28"/>
        </w:rPr>
        <w:t xml:space="preserve"> – Режим доступа:</w:t>
      </w:r>
      <w:r w:rsidR="00A23768" w:rsidRPr="00A23768">
        <w:rPr>
          <w:rFonts w:ascii="Times New Roman" w:hAnsi="Times New Roman"/>
          <w:sz w:val="28"/>
          <w:szCs w:val="28"/>
        </w:rPr>
        <w:t>http://znaybiz.ru/buh/raznoe/buhuchet/v-byudzhetnyh-organizaciyah.html</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Pr>
          <w:rFonts w:ascii="Times New Roman" w:hAnsi="Times New Roman"/>
          <w:sz w:val="28"/>
          <w:szCs w:val="28"/>
        </w:rPr>
        <w:t xml:space="preserve">Бухгалтерский учет </w:t>
      </w:r>
      <w:r w:rsidRPr="00786F86">
        <w:rPr>
          <w:rFonts w:ascii="Times New Roman" w:hAnsi="Times New Roman"/>
          <w:sz w:val="28"/>
          <w:szCs w:val="28"/>
        </w:rPr>
        <w:t>: конспект лекций / Е. А. Потапова. -</w:t>
      </w:r>
      <w:r>
        <w:rPr>
          <w:rFonts w:ascii="Times New Roman" w:hAnsi="Times New Roman"/>
          <w:sz w:val="28"/>
          <w:szCs w:val="28"/>
        </w:rPr>
        <w:t xml:space="preserve"> </w:t>
      </w:r>
      <w:r w:rsidR="00A23768">
        <w:rPr>
          <w:rFonts w:ascii="Times New Roman" w:hAnsi="Times New Roman"/>
          <w:sz w:val="28"/>
          <w:szCs w:val="28"/>
        </w:rPr>
        <w:t>М. : Проспект, 2014.  144 </w:t>
      </w:r>
      <w:r>
        <w:rPr>
          <w:rFonts w:ascii="Times New Roman" w:hAnsi="Times New Roman"/>
          <w:sz w:val="28"/>
          <w:szCs w:val="28"/>
        </w:rPr>
        <w:t>с.</w:t>
      </w:r>
      <w:r w:rsidR="00A23768">
        <w:rPr>
          <w:rFonts w:ascii="Times New Roman" w:hAnsi="Times New Roman"/>
          <w:sz w:val="28"/>
          <w:szCs w:val="28"/>
        </w:rPr>
        <w:t>  Режим доступа:http://nalog</w:t>
      </w:r>
      <w:r w:rsidR="00A23768" w:rsidRPr="00A23768">
        <w:rPr>
          <w:rFonts w:ascii="Times New Roman" w:hAnsi="Times New Roman"/>
          <w:sz w:val="28"/>
          <w:szCs w:val="28"/>
        </w:rPr>
        <w:t>nalog.ru/buhgalterskij_uchet/vedenie_buhgalterskogo_ucheta/pravila_vedeniya_buhuch</w:t>
      </w:r>
      <w:r w:rsidR="00A23768">
        <w:rPr>
          <w:rFonts w:ascii="Times New Roman" w:hAnsi="Times New Roman"/>
          <w:sz w:val="28"/>
          <w:szCs w:val="28"/>
        </w:rPr>
        <w:t>eta_v_byudzhetnyh_organizaciyah</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0F2278">
        <w:rPr>
          <w:rFonts w:ascii="Times New Roman" w:hAnsi="Times New Roman"/>
          <w:sz w:val="28"/>
          <w:szCs w:val="28"/>
        </w:rPr>
        <w:t>Бухгалтерский учет. Конспект лекций. 2-е издание. Учебное пособие : курс лекций / Е.А. Потапова. — Москва : Проспект, 2015. — 128 с.</w:t>
      </w:r>
      <w:r w:rsidR="00A23768">
        <w:rPr>
          <w:rFonts w:ascii="Times New Roman" w:hAnsi="Times New Roman"/>
          <w:sz w:val="28"/>
          <w:szCs w:val="28"/>
        </w:rPr>
        <w:t xml:space="preserve"> – Режим доступа: </w:t>
      </w:r>
      <w:r w:rsidR="00A23768" w:rsidRPr="00A23768">
        <w:rPr>
          <w:rFonts w:ascii="Times New Roman" w:hAnsi="Times New Roman"/>
          <w:sz w:val="28"/>
          <w:szCs w:val="28"/>
        </w:rPr>
        <w:t>http://buhuchetpro.ru/buhgalterskij-uchet-v-bjudzhetnyh-organizacijah/</w:t>
      </w:r>
    </w:p>
    <w:p w:rsidR="000F2278" w:rsidRPr="000F2278" w:rsidRDefault="000F2278" w:rsidP="000F2278">
      <w:pPr>
        <w:numPr>
          <w:ilvl w:val="0"/>
          <w:numId w:val="7"/>
        </w:numPr>
        <w:spacing w:line="360" w:lineRule="auto"/>
        <w:ind w:left="357" w:hanging="357"/>
        <w:contextualSpacing/>
        <w:jc w:val="both"/>
        <w:rPr>
          <w:rFonts w:ascii="Times New Roman" w:hAnsi="Times New Roman"/>
          <w:sz w:val="28"/>
          <w:szCs w:val="28"/>
        </w:rPr>
      </w:pPr>
      <w:r w:rsidRPr="000F2278">
        <w:rPr>
          <w:rFonts w:ascii="Times New Roman" w:hAnsi="Times New Roman"/>
          <w:sz w:val="28"/>
          <w:szCs w:val="28"/>
        </w:rPr>
        <w:t>Варпаева И. А. Объекты бухгалтерского учета инвестиционной деятельности (на примере вложений во внеоборотные активы) // Все д</w:t>
      </w:r>
      <w:r>
        <w:rPr>
          <w:rFonts w:ascii="Times New Roman" w:hAnsi="Times New Roman"/>
          <w:sz w:val="28"/>
          <w:szCs w:val="28"/>
        </w:rPr>
        <w:t>ля бухгалтера. 2011. №10. С.3-8.</w:t>
      </w:r>
      <w:r w:rsidR="00A23768">
        <w:rPr>
          <w:rFonts w:ascii="Times New Roman" w:hAnsi="Times New Roman"/>
          <w:sz w:val="28"/>
          <w:szCs w:val="28"/>
        </w:rPr>
        <w:t xml:space="preserve"> – Режим доступа: </w:t>
      </w:r>
      <w:r w:rsidR="00A23768" w:rsidRPr="00A23768">
        <w:rPr>
          <w:rFonts w:ascii="Times New Roman" w:hAnsi="Times New Roman"/>
          <w:sz w:val="28"/>
          <w:szCs w:val="28"/>
        </w:rPr>
        <w:t>https://www.book.ru/book/916089</w:t>
      </w:r>
    </w:p>
    <w:p w:rsidR="000F2278" w:rsidRDefault="000F2278" w:rsidP="00786F86">
      <w:pPr>
        <w:numPr>
          <w:ilvl w:val="0"/>
          <w:numId w:val="7"/>
        </w:numPr>
        <w:spacing w:line="360" w:lineRule="auto"/>
        <w:ind w:left="357" w:hanging="357"/>
        <w:contextualSpacing/>
        <w:jc w:val="both"/>
        <w:rPr>
          <w:rFonts w:ascii="Times New Roman" w:hAnsi="Times New Roman"/>
          <w:sz w:val="28"/>
          <w:szCs w:val="28"/>
        </w:rPr>
      </w:pPr>
      <w:r w:rsidRPr="000F2278">
        <w:rPr>
          <w:rFonts w:ascii="Times New Roman" w:hAnsi="Times New Roman"/>
          <w:sz w:val="28"/>
          <w:szCs w:val="28"/>
        </w:rPr>
        <w:t>Волкова Е.В. Эволюция представления внеоборотных активов в бухгалтерском балансе организаций // Вестник БГУ. 2014. №3. С.239-246</w:t>
      </w:r>
      <w:r>
        <w:rPr>
          <w:rFonts w:ascii="Times New Roman" w:hAnsi="Times New Roman"/>
          <w:sz w:val="28"/>
          <w:szCs w:val="28"/>
        </w:rPr>
        <w:t>.</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Данилевский Ю.А. Аудит. Учебное пособие. – М.: Изд. ФБК ПРЕСС, 2013. – 544 с.</w:t>
      </w:r>
      <w:r w:rsidR="00A23768">
        <w:rPr>
          <w:rFonts w:ascii="Times New Roman" w:hAnsi="Times New Roman"/>
          <w:sz w:val="28"/>
          <w:szCs w:val="28"/>
        </w:rPr>
        <w:t xml:space="preserve"> </w:t>
      </w:r>
      <w:r w:rsidR="00A23768" w:rsidRPr="00A23768">
        <w:rPr>
          <w:rFonts w:ascii="Times New Roman" w:hAnsi="Times New Roman"/>
          <w:sz w:val="28"/>
          <w:szCs w:val="28"/>
        </w:rPr>
        <w:t>— Режим доступа: http://e.lanbook.com/book/83765</w:t>
      </w:r>
    </w:p>
    <w:p w:rsidR="000F2278" w:rsidRPr="000F2278" w:rsidRDefault="000F2278" w:rsidP="000F2278">
      <w:pPr>
        <w:numPr>
          <w:ilvl w:val="0"/>
          <w:numId w:val="7"/>
        </w:numPr>
        <w:spacing w:line="360" w:lineRule="auto"/>
        <w:ind w:left="357" w:hanging="357"/>
        <w:contextualSpacing/>
        <w:jc w:val="both"/>
        <w:rPr>
          <w:rFonts w:ascii="Times New Roman" w:hAnsi="Times New Roman"/>
          <w:sz w:val="28"/>
          <w:szCs w:val="28"/>
        </w:rPr>
      </w:pPr>
      <w:r w:rsidRPr="000F2278">
        <w:rPr>
          <w:rFonts w:ascii="Times New Roman" w:hAnsi="Times New Roman"/>
          <w:sz w:val="28"/>
          <w:szCs w:val="28"/>
        </w:rPr>
        <w:t>Кондраков Н. П.</w:t>
      </w:r>
      <w:r>
        <w:rPr>
          <w:rFonts w:ascii="Times New Roman" w:hAnsi="Times New Roman"/>
          <w:sz w:val="28"/>
          <w:szCs w:val="28"/>
        </w:rPr>
        <w:t xml:space="preserve"> </w:t>
      </w:r>
      <w:r w:rsidRPr="000F2278">
        <w:rPr>
          <w:rFonts w:ascii="Times New Roman" w:hAnsi="Times New Roman"/>
          <w:sz w:val="28"/>
          <w:szCs w:val="28"/>
        </w:rPr>
        <w:t>Бухгалтерский (финансовый, управленческий) учет: учеб. —</w:t>
      </w:r>
      <w:r>
        <w:rPr>
          <w:rFonts w:ascii="Times New Roman" w:hAnsi="Times New Roman"/>
          <w:sz w:val="28"/>
          <w:szCs w:val="28"/>
        </w:rPr>
        <w:t xml:space="preserve"> </w:t>
      </w:r>
      <w:r w:rsidRPr="000F2278">
        <w:rPr>
          <w:rFonts w:ascii="Times New Roman" w:hAnsi="Times New Roman"/>
          <w:sz w:val="28"/>
          <w:szCs w:val="28"/>
        </w:rPr>
        <w:t>М.</w:t>
      </w:r>
      <w:r>
        <w:rPr>
          <w:rFonts w:ascii="Times New Roman" w:hAnsi="Times New Roman"/>
          <w:sz w:val="28"/>
          <w:szCs w:val="28"/>
        </w:rPr>
        <w:t>: ТК Велби, Изд-во Проспект, 2015</w:t>
      </w:r>
      <w:r w:rsidRPr="000F2278">
        <w:rPr>
          <w:rFonts w:ascii="Times New Roman" w:hAnsi="Times New Roman"/>
          <w:sz w:val="28"/>
          <w:szCs w:val="28"/>
        </w:rPr>
        <w:t>. - 448 с.</w:t>
      </w:r>
      <w:r w:rsidR="00A23768">
        <w:rPr>
          <w:rFonts w:ascii="Times New Roman" w:hAnsi="Times New Roman"/>
          <w:sz w:val="28"/>
          <w:szCs w:val="28"/>
        </w:rPr>
        <w:t xml:space="preserve"> </w:t>
      </w:r>
      <w:r w:rsidR="00A23768" w:rsidRPr="00A23768">
        <w:rPr>
          <w:rFonts w:ascii="Times New Roman" w:hAnsi="Times New Roman"/>
          <w:sz w:val="28"/>
          <w:szCs w:val="28"/>
        </w:rPr>
        <w:t>— Режим доступа: http://e.lanbook.com/book/54835</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Кондраков Н.П. Бухгалтерский учет. Учебное пособие. – М., 2015 – 427 с.</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Кондраков Н.П. Бухгалтерский учет: Учебное пособие. – 4</w:t>
      </w:r>
      <w:r w:rsidR="00A23768">
        <w:rPr>
          <w:rFonts w:ascii="Times New Roman" w:hAnsi="Times New Roman"/>
          <w:sz w:val="28"/>
          <w:szCs w:val="28"/>
        </w:rPr>
        <w:t>-е изд. М.: ИНФРА-М, 2013. – 640 </w:t>
      </w:r>
      <w:r w:rsidRPr="00786F86">
        <w:rPr>
          <w:rFonts w:ascii="Times New Roman" w:hAnsi="Times New Roman"/>
          <w:sz w:val="28"/>
          <w:szCs w:val="28"/>
        </w:rPr>
        <w:t>с.</w:t>
      </w:r>
      <w:r w:rsidR="00A23768">
        <w:rPr>
          <w:rFonts w:ascii="Times New Roman" w:hAnsi="Times New Roman"/>
          <w:sz w:val="28"/>
          <w:szCs w:val="28"/>
        </w:rPr>
        <w:t xml:space="preserve"> — Режим доступа: </w:t>
      </w:r>
      <w:r w:rsidR="00A23768" w:rsidRPr="00A23768">
        <w:rPr>
          <w:rFonts w:ascii="Times New Roman" w:hAnsi="Times New Roman"/>
          <w:sz w:val="28"/>
          <w:szCs w:val="28"/>
        </w:rPr>
        <w:t>http://znanium.com/catalog.php?bookinfo=432375</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Любушин Н.П. Комплексный экономический анализ хозяйственной деятельности: Учебное пособие.</w:t>
      </w:r>
      <w:r>
        <w:rPr>
          <w:rFonts w:ascii="Times New Roman" w:hAnsi="Times New Roman"/>
          <w:sz w:val="28"/>
          <w:szCs w:val="28"/>
        </w:rPr>
        <w:t>-2-е изд.-М.,</w:t>
      </w:r>
      <w:r w:rsidRPr="00786F86">
        <w:rPr>
          <w:rFonts w:ascii="Times New Roman" w:hAnsi="Times New Roman"/>
          <w:sz w:val="28"/>
          <w:szCs w:val="28"/>
        </w:rPr>
        <w:t xml:space="preserve"> 2013 г.</w:t>
      </w:r>
      <w:r>
        <w:rPr>
          <w:rFonts w:ascii="Times New Roman" w:hAnsi="Times New Roman"/>
          <w:sz w:val="28"/>
          <w:szCs w:val="28"/>
        </w:rPr>
        <w:t xml:space="preserve"> – 346 </w:t>
      </w:r>
      <w:r w:rsidRPr="00786F86">
        <w:rPr>
          <w:rFonts w:ascii="Times New Roman" w:hAnsi="Times New Roman"/>
          <w:sz w:val="28"/>
          <w:szCs w:val="28"/>
        </w:rPr>
        <w:t>с.</w:t>
      </w:r>
      <w:r w:rsidR="00A23768">
        <w:rPr>
          <w:rFonts w:ascii="Times New Roman" w:hAnsi="Times New Roman"/>
          <w:sz w:val="28"/>
          <w:szCs w:val="28"/>
        </w:rPr>
        <w:t xml:space="preserve"> </w:t>
      </w:r>
      <w:r w:rsidR="00A23768" w:rsidRPr="00A23768">
        <w:rPr>
          <w:rFonts w:ascii="Times New Roman" w:hAnsi="Times New Roman"/>
          <w:sz w:val="28"/>
          <w:szCs w:val="28"/>
        </w:rPr>
        <w:t>— Режим доступа: http://znanium.com/catalog.php?bookinfo=</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lastRenderedPageBreak/>
        <w:t>Мизиковский Е.А. и коллектив авторов. Переход на новый план счетов. Практические рекомендации. - Киров, 2014 – 389 с.</w:t>
      </w:r>
      <w:r w:rsidR="00A23768">
        <w:rPr>
          <w:rFonts w:ascii="Times New Roman" w:hAnsi="Times New Roman"/>
          <w:sz w:val="28"/>
          <w:szCs w:val="28"/>
        </w:rPr>
        <w:t xml:space="preserve"> </w:t>
      </w:r>
      <w:r w:rsidR="00A23768" w:rsidRPr="00A23768">
        <w:rPr>
          <w:rFonts w:ascii="Times New Roman" w:hAnsi="Times New Roman"/>
          <w:sz w:val="28"/>
          <w:szCs w:val="28"/>
        </w:rPr>
        <w:t>— Режим доступа: http://znanium.com/catalog.php?bookinfo=478840</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Палий В.Ф.</w:t>
      </w:r>
      <w:r w:rsidRPr="00786F86">
        <w:rPr>
          <w:rFonts w:ascii="Times New Roman" w:hAnsi="Times New Roman"/>
          <w:noProof/>
          <w:sz w:val="28"/>
          <w:szCs w:val="28"/>
        </w:rPr>
        <w:t>,</w:t>
      </w:r>
      <w:r w:rsidRPr="00786F86">
        <w:rPr>
          <w:rFonts w:ascii="Times New Roman" w:hAnsi="Times New Roman"/>
          <w:sz w:val="28"/>
          <w:szCs w:val="28"/>
        </w:rPr>
        <w:t xml:space="preserve"> Палий В.В. Финансовый учет</w:t>
      </w:r>
      <w:r w:rsidRPr="00786F86">
        <w:rPr>
          <w:rFonts w:ascii="Times New Roman" w:hAnsi="Times New Roman"/>
          <w:noProof/>
          <w:sz w:val="28"/>
          <w:szCs w:val="28"/>
        </w:rPr>
        <w:t xml:space="preserve"> -</w:t>
      </w:r>
      <w:r w:rsidRPr="00786F86">
        <w:rPr>
          <w:rFonts w:ascii="Times New Roman" w:hAnsi="Times New Roman"/>
          <w:sz w:val="28"/>
          <w:szCs w:val="28"/>
        </w:rPr>
        <w:t xml:space="preserve"> М., 2013 – 426 с.</w:t>
      </w:r>
      <w:r w:rsidR="00A23768" w:rsidRPr="00A23768">
        <w:t xml:space="preserve"> </w:t>
      </w:r>
      <w:r w:rsidR="00A23768" w:rsidRPr="00A23768">
        <w:rPr>
          <w:rFonts w:ascii="Times New Roman" w:hAnsi="Times New Roman"/>
          <w:sz w:val="28"/>
          <w:szCs w:val="28"/>
        </w:rPr>
        <w:t>— Режим доступа: http://znanium.com/catalog.php?bookinfo=412023</w:t>
      </w:r>
    </w:p>
    <w:p w:rsidR="000F2278" w:rsidRPr="00786F86"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Подольский В.И., Савин А.А., Сотников Л.В. Аудит. Учебник для вузов – М.: ЮНИТИ – ДАНА, Аудит, 2014. – 583 с.</w:t>
      </w:r>
      <w:r w:rsidR="00A23768">
        <w:rPr>
          <w:rFonts w:ascii="Times New Roman" w:hAnsi="Times New Roman"/>
          <w:sz w:val="28"/>
          <w:szCs w:val="28"/>
        </w:rPr>
        <w:t xml:space="preserve"> - </w:t>
      </w:r>
      <w:r w:rsidR="00A23768" w:rsidRPr="00A23768">
        <w:rPr>
          <w:rFonts w:ascii="Times New Roman" w:hAnsi="Times New Roman"/>
          <w:sz w:val="28"/>
          <w:szCs w:val="28"/>
        </w:rPr>
        <w:t>Режим доступа: http://znanium.com/catalog.php?bookinfo=415056</w:t>
      </w:r>
    </w:p>
    <w:p w:rsidR="00A23768" w:rsidRDefault="000F2278" w:rsidP="00786F86">
      <w:pPr>
        <w:numPr>
          <w:ilvl w:val="0"/>
          <w:numId w:val="7"/>
        </w:numPr>
        <w:spacing w:line="360" w:lineRule="auto"/>
        <w:ind w:left="357" w:hanging="357"/>
        <w:contextualSpacing/>
        <w:jc w:val="both"/>
        <w:rPr>
          <w:rFonts w:ascii="Times New Roman" w:hAnsi="Times New Roman"/>
          <w:sz w:val="28"/>
          <w:szCs w:val="28"/>
        </w:rPr>
      </w:pPr>
      <w:r w:rsidRPr="00786F86">
        <w:rPr>
          <w:rFonts w:ascii="Times New Roman" w:hAnsi="Times New Roman"/>
          <w:sz w:val="28"/>
          <w:szCs w:val="28"/>
        </w:rPr>
        <w:t>Пошерстник Е.Б., Мейксин М.С. Бухгалтерский учет и аудит, 2014 – 257 с.</w:t>
      </w:r>
      <w:r w:rsidR="00A23768">
        <w:rPr>
          <w:rFonts w:ascii="Times New Roman" w:hAnsi="Times New Roman"/>
          <w:sz w:val="28"/>
          <w:szCs w:val="28"/>
        </w:rPr>
        <w:t xml:space="preserve"> </w:t>
      </w:r>
      <w:r w:rsidR="00A23768" w:rsidRPr="00A23768">
        <w:rPr>
          <w:rFonts w:ascii="Times New Roman" w:hAnsi="Times New Roman"/>
          <w:sz w:val="28"/>
          <w:szCs w:val="28"/>
        </w:rPr>
        <w:t>— Режим доступа: http://e.lanbook.com/book/54832</w:t>
      </w:r>
    </w:p>
    <w:p w:rsidR="000F2278" w:rsidRDefault="00A23768" w:rsidP="00A23768">
      <w:pPr>
        <w:spacing w:after="0" w:line="240" w:lineRule="auto"/>
        <w:rPr>
          <w:rFonts w:ascii="Times New Roman" w:hAnsi="Times New Roman"/>
          <w:sz w:val="28"/>
          <w:szCs w:val="28"/>
        </w:rPr>
      </w:pPr>
      <w:r>
        <w:rPr>
          <w:rFonts w:ascii="Times New Roman" w:hAnsi="Times New Roman"/>
          <w:sz w:val="28"/>
          <w:szCs w:val="28"/>
        </w:rPr>
        <w:br w:type="page"/>
      </w:r>
    </w:p>
    <w:p w:rsidR="00A23768" w:rsidRDefault="00A23768" w:rsidP="00A23768">
      <w:pPr>
        <w:pStyle w:val="a7"/>
        <w:rPr>
          <w:color w:val="000000"/>
          <w:sz w:val="27"/>
          <w:szCs w:val="27"/>
        </w:rPr>
      </w:pPr>
      <w:r>
        <w:rPr>
          <w:color w:val="000000"/>
          <w:sz w:val="27"/>
          <w:szCs w:val="27"/>
        </w:rPr>
        <w:lastRenderedPageBreak/>
        <w:t xml:space="preserve">1. Андреева, Т.В. Основы бухгалтерского учета и формирования бухгалтерской (финансовой) отчетности. [Электронный ресурс] — Электрон. дан. — М. : ФЛИНТА, 2016. — 176 с. — Режим доступа: http://e.lanbook.com/book/83765 2. Бабаев Ю.А. Бухгалтерский учет. [Электронный ресурс] / Ю.А. Бабаев, Л.А. Мельникова. — Электрон. дан. — М. : Проспект, 2015. — 424 с. — Режим доступа: http://e.lanbook.com/book/54835 </w:t>
      </w:r>
    </w:p>
    <w:p w:rsidR="00AD2A8F" w:rsidRDefault="00AD2A8F" w:rsidP="00AD2A8F">
      <w:pPr>
        <w:widowControl w:val="0"/>
        <w:suppressAutoHyphens/>
        <w:autoSpaceDE w:val="0"/>
        <w:autoSpaceDN w:val="0"/>
        <w:adjustRightInd w:val="0"/>
        <w:spacing w:after="0" w:line="360" w:lineRule="auto"/>
        <w:jc w:val="center"/>
        <w:rPr>
          <w:rFonts w:ascii="Times New Roman CYR" w:hAnsi="Times New Roman CYR" w:cs="Times New Roman CYR"/>
          <w:kern w:val="1"/>
          <w:sz w:val="28"/>
          <w:szCs w:val="28"/>
        </w:rPr>
      </w:pPr>
    </w:p>
    <w:p w:rsidR="00AD2A8F" w:rsidRDefault="00AD2A8F" w:rsidP="00AD2A8F">
      <w:pPr>
        <w:widowControl w:val="0"/>
        <w:suppressAutoHyphens/>
        <w:autoSpaceDE w:val="0"/>
        <w:autoSpaceDN w:val="0"/>
        <w:adjustRightInd w:val="0"/>
        <w:spacing w:after="0" w:line="360" w:lineRule="auto"/>
        <w:jc w:val="both"/>
        <w:rPr>
          <w:rFonts w:ascii="Times New Roman CYR" w:hAnsi="Times New Roman CYR" w:cs="Times New Roman CYR"/>
          <w:kern w:val="1"/>
          <w:sz w:val="28"/>
          <w:szCs w:val="28"/>
        </w:rPr>
      </w:pPr>
    </w:p>
    <w:p w:rsidR="00C4145F" w:rsidRPr="00AD2A8F" w:rsidRDefault="00C4145F" w:rsidP="00AD2A8F">
      <w:pPr>
        <w:rPr>
          <w:szCs w:val="28"/>
        </w:rPr>
      </w:pPr>
    </w:p>
    <w:sectPr w:rsidR="00C4145F" w:rsidRPr="00AD2A8F" w:rsidSect="00AD2A8F">
      <w:footerReference w:type="default" r:id="rId10"/>
      <w:footerReference w:type="first" r:id="rId11"/>
      <w:pgSz w:w="12240" w:h="15840"/>
      <w:pgMar w:top="1134" w:right="850" w:bottom="1134" w:left="1701" w:header="720" w:footer="720" w:gutter="0"/>
      <w:pgNumType w:start="2"/>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ECE" w:rsidRDefault="00E90ECE" w:rsidP="00AD2A8F">
      <w:pPr>
        <w:spacing w:after="0" w:line="240" w:lineRule="auto"/>
      </w:pPr>
      <w:r>
        <w:separator/>
      </w:r>
    </w:p>
  </w:endnote>
  <w:endnote w:type="continuationSeparator" w:id="1">
    <w:p w:rsidR="00E90ECE" w:rsidRDefault="00E90ECE" w:rsidP="00AD2A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768" w:rsidRPr="00F67BDE" w:rsidRDefault="00A23768">
    <w:pPr>
      <w:pStyle w:val="a5"/>
      <w:jc w:val="right"/>
      <w:rPr>
        <w:rFonts w:ascii="Times New Roman" w:hAnsi="Times New Roman"/>
      </w:rPr>
    </w:pPr>
    <w:r w:rsidRPr="00F67BDE">
      <w:rPr>
        <w:rFonts w:ascii="Times New Roman" w:hAnsi="Times New Roman"/>
      </w:rPr>
      <w:fldChar w:fldCharType="begin"/>
    </w:r>
    <w:r w:rsidRPr="00F67BDE">
      <w:rPr>
        <w:rFonts w:ascii="Times New Roman" w:hAnsi="Times New Roman"/>
      </w:rPr>
      <w:instrText xml:space="preserve"> PAGE   \* MERGEFORMAT </w:instrText>
    </w:r>
    <w:r w:rsidRPr="00F67BDE">
      <w:rPr>
        <w:rFonts w:ascii="Times New Roman" w:hAnsi="Times New Roman"/>
      </w:rPr>
      <w:fldChar w:fldCharType="separate"/>
    </w:r>
    <w:r w:rsidR="003F4E74">
      <w:rPr>
        <w:rFonts w:ascii="Times New Roman" w:hAnsi="Times New Roman"/>
        <w:noProof/>
      </w:rPr>
      <w:t>37</w:t>
    </w:r>
    <w:r w:rsidRPr="00F67BDE">
      <w:rPr>
        <w:rFonts w:ascii="Times New Roman" w:hAnsi="Times New Roman"/>
      </w:rPr>
      <w:fldChar w:fldCharType="end"/>
    </w:r>
  </w:p>
  <w:p w:rsidR="00A23768" w:rsidRDefault="00A2376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768" w:rsidRDefault="00A23768">
    <w:pPr>
      <w:pStyle w:val="a5"/>
      <w:jc w:val="right"/>
    </w:pPr>
    <w:fldSimple w:instr=" PAGE   \* MERGEFORMAT ">
      <w:r>
        <w:rPr>
          <w:noProof/>
        </w:rPr>
        <w:t>2</w:t>
      </w:r>
    </w:fldSimple>
  </w:p>
  <w:p w:rsidR="00A23768" w:rsidRDefault="00A2376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ECE" w:rsidRDefault="00E90ECE" w:rsidP="00AD2A8F">
      <w:pPr>
        <w:spacing w:after="0" w:line="240" w:lineRule="auto"/>
      </w:pPr>
      <w:r>
        <w:separator/>
      </w:r>
    </w:p>
  </w:footnote>
  <w:footnote w:type="continuationSeparator" w:id="1">
    <w:p w:rsidR="00E90ECE" w:rsidRDefault="00E90ECE" w:rsidP="00AD2A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8686A3A"/>
    <w:lvl w:ilvl="0">
      <w:numFmt w:val="bullet"/>
      <w:lvlText w:val="*"/>
      <w:lvlJc w:val="left"/>
    </w:lvl>
  </w:abstractNum>
  <w:abstractNum w:abstractNumId="1">
    <w:nsid w:val="02D71DB7"/>
    <w:multiLevelType w:val="hybridMultilevel"/>
    <w:tmpl w:val="EA4AAC6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624BE7"/>
    <w:multiLevelType w:val="hybridMultilevel"/>
    <w:tmpl w:val="2A765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0A23B5"/>
    <w:multiLevelType w:val="hybridMultilevel"/>
    <w:tmpl w:val="458A11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3B91CE7"/>
    <w:multiLevelType w:val="hybridMultilevel"/>
    <w:tmpl w:val="220EB7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D3A5589"/>
    <w:multiLevelType w:val="hybridMultilevel"/>
    <w:tmpl w:val="60E6D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CA4F73"/>
    <w:multiLevelType w:val="hybridMultilevel"/>
    <w:tmpl w:val="55A8643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7">
    <w:nsid w:val="3DA637AF"/>
    <w:multiLevelType w:val="hybridMultilevel"/>
    <w:tmpl w:val="F6A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18E2AA7"/>
    <w:multiLevelType w:val="hybridMultilevel"/>
    <w:tmpl w:val="F294D2B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9">
    <w:nsid w:val="48EE0878"/>
    <w:multiLevelType w:val="hybridMultilevel"/>
    <w:tmpl w:val="26608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0C17043"/>
    <w:multiLevelType w:val="hybridMultilevel"/>
    <w:tmpl w:val="0F92C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BB1059E"/>
    <w:multiLevelType w:val="hybridMultilevel"/>
    <w:tmpl w:val="6750EBC8"/>
    <w:lvl w:ilvl="0" w:tplc="A2F40CA0">
      <w:start w:val="1"/>
      <w:numFmt w:val="decimal"/>
      <w:lvlText w:val="%1."/>
      <w:lvlJc w:val="left"/>
      <w:pPr>
        <w:ind w:left="1579" w:hanging="51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6"/>
  </w:num>
  <w:num w:numId="3">
    <w:abstractNumId w:val="8"/>
  </w:num>
  <w:num w:numId="4">
    <w:abstractNumId w:val="7"/>
  </w:num>
  <w:num w:numId="5">
    <w:abstractNumId w:val="11"/>
  </w:num>
  <w:num w:numId="6">
    <w:abstractNumId w:val="4"/>
  </w:num>
  <w:num w:numId="7">
    <w:abstractNumId w:val="1"/>
  </w:num>
  <w:num w:numId="8">
    <w:abstractNumId w:val="5"/>
  </w:num>
  <w:num w:numId="9">
    <w:abstractNumId w:val="3"/>
  </w:num>
  <w:num w:numId="10">
    <w:abstractNumId w:val="10"/>
  </w:num>
  <w:num w:numId="11">
    <w:abstractNumId w:val="9"/>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embedSystemFonts/>
  <w:bordersDoNotSurroundHeader/>
  <w:bordersDoNotSurroundFooter/>
  <w:defaultTabStop w:val="709"/>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18467C"/>
    <w:rsid w:val="000F2278"/>
    <w:rsid w:val="0018467C"/>
    <w:rsid w:val="002360FB"/>
    <w:rsid w:val="00377B40"/>
    <w:rsid w:val="0038310D"/>
    <w:rsid w:val="003F4E74"/>
    <w:rsid w:val="0048412A"/>
    <w:rsid w:val="00501FFB"/>
    <w:rsid w:val="0055681F"/>
    <w:rsid w:val="006802A9"/>
    <w:rsid w:val="006910DF"/>
    <w:rsid w:val="00786F86"/>
    <w:rsid w:val="00A16439"/>
    <w:rsid w:val="00A23768"/>
    <w:rsid w:val="00AD2A8F"/>
    <w:rsid w:val="00B53C0F"/>
    <w:rsid w:val="00C4145F"/>
    <w:rsid w:val="00E27A0E"/>
    <w:rsid w:val="00E90ECE"/>
    <w:rsid w:val="00E95EE7"/>
    <w:rsid w:val="00F67B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439"/>
    <w:pPr>
      <w:spacing w:after="200" w:line="276" w:lineRule="auto"/>
    </w:pPr>
    <w:rPr>
      <w:sz w:val="22"/>
      <w:szCs w:val="22"/>
    </w:rPr>
  </w:style>
  <w:style w:type="paragraph" w:styleId="1">
    <w:name w:val="heading 1"/>
    <w:basedOn w:val="a"/>
    <w:next w:val="a"/>
    <w:link w:val="10"/>
    <w:uiPriority w:val="9"/>
    <w:qFormat/>
    <w:rsid w:val="00AD2A8F"/>
    <w:pPr>
      <w:keepNext/>
      <w:spacing w:after="0"/>
      <w:jc w:val="center"/>
      <w:outlineLvl w:val="0"/>
    </w:pPr>
    <w:rPr>
      <w:rFonts w:ascii="Times New Roman" w:hAnsi="Times New Roman"/>
      <w:b/>
      <w:bCs/>
      <w:color w:val="000000"/>
      <w:kern w:val="32"/>
      <w:sz w:val="28"/>
      <w:szCs w:val="32"/>
    </w:rPr>
  </w:style>
  <w:style w:type="paragraph" w:styleId="2">
    <w:name w:val="heading 2"/>
    <w:basedOn w:val="a"/>
    <w:next w:val="a"/>
    <w:link w:val="20"/>
    <w:uiPriority w:val="9"/>
    <w:unhideWhenUsed/>
    <w:qFormat/>
    <w:rsid w:val="00AD2A8F"/>
    <w:pPr>
      <w:keepNext/>
      <w:spacing w:before="120" w:after="0"/>
      <w:jc w:val="center"/>
      <w:outlineLvl w:val="1"/>
    </w:pPr>
    <w:rPr>
      <w:rFonts w:ascii="Times New Roman" w:hAnsi="Times New Roman"/>
      <w:b/>
      <w:bCs/>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2A8F"/>
    <w:rPr>
      <w:rFonts w:ascii="Times New Roman" w:eastAsia="Times New Roman" w:hAnsi="Times New Roman" w:cs="Times New Roman"/>
      <w:b/>
      <w:bCs/>
      <w:color w:val="000000"/>
      <w:kern w:val="32"/>
      <w:sz w:val="28"/>
      <w:szCs w:val="32"/>
    </w:rPr>
  </w:style>
  <w:style w:type="character" w:customStyle="1" w:styleId="20">
    <w:name w:val="Заголовок 2 Знак"/>
    <w:basedOn w:val="a0"/>
    <w:link w:val="2"/>
    <w:uiPriority w:val="9"/>
    <w:rsid w:val="00AD2A8F"/>
    <w:rPr>
      <w:rFonts w:ascii="Times New Roman" w:eastAsia="Times New Roman" w:hAnsi="Times New Roman" w:cs="Times New Roman"/>
      <w:b/>
      <w:bCs/>
      <w:iCs/>
      <w:color w:val="000000"/>
      <w:sz w:val="28"/>
      <w:szCs w:val="28"/>
    </w:rPr>
  </w:style>
  <w:style w:type="paragraph" w:styleId="a3">
    <w:name w:val="header"/>
    <w:basedOn w:val="a"/>
    <w:link w:val="a4"/>
    <w:uiPriority w:val="99"/>
    <w:semiHidden/>
    <w:unhideWhenUsed/>
    <w:rsid w:val="00AD2A8F"/>
    <w:pPr>
      <w:tabs>
        <w:tab w:val="center" w:pos="4677"/>
        <w:tab w:val="right" w:pos="9355"/>
      </w:tabs>
    </w:pPr>
  </w:style>
  <w:style w:type="character" w:customStyle="1" w:styleId="a4">
    <w:name w:val="Верхний колонтитул Знак"/>
    <w:basedOn w:val="a0"/>
    <w:link w:val="a3"/>
    <w:uiPriority w:val="99"/>
    <w:semiHidden/>
    <w:rsid w:val="00AD2A8F"/>
  </w:style>
  <w:style w:type="paragraph" w:styleId="a5">
    <w:name w:val="footer"/>
    <w:basedOn w:val="a"/>
    <w:link w:val="a6"/>
    <w:uiPriority w:val="99"/>
    <w:unhideWhenUsed/>
    <w:rsid w:val="00AD2A8F"/>
    <w:pPr>
      <w:tabs>
        <w:tab w:val="center" w:pos="4677"/>
        <w:tab w:val="right" w:pos="9355"/>
      </w:tabs>
    </w:pPr>
  </w:style>
  <w:style w:type="character" w:customStyle="1" w:styleId="a6">
    <w:name w:val="Нижний колонтитул Знак"/>
    <w:basedOn w:val="a0"/>
    <w:link w:val="a5"/>
    <w:uiPriority w:val="99"/>
    <w:rsid w:val="00AD2A8F"/>
  </w:style>
  <w:style w:type="paragraph" w:styleId="a7">
    <w:name w:val="Normal (Web)"/>
    <w:basedOn w:val="a"/>
    <w:uiPriority w:val="99"/>
    <w:unhideWhenUsed/>
    <w:rsid w:val="00786F86"/>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786F86"/>
    <w:pPr>
      <w:ind w:left="720"/>
      <w:contextualSpacing/>
    </w:pPr>
    <w:rPr>
      <w:lang w:eastAsia="en-US"/>
    </w:rPr>
  </w:style>
  <w:style w:type="paragraph" w:styleId="a9">
    <w:name w:val="TOC Heading"/>
    <w:basedOn w:val="1"/>
    <w:next w:val="a"/>
    <w:uiPriority w:val="39"/>
    <w:semiHidden/>
    <w:unhideWhenUsed/>
    <w:qFormat/>
    <w:rsid w:val="00F67BDE"/>
    <w:pPr>
      <w:keepLines/>
      <w:spacing w:before="480"/>
      <w:jc w:val="left"/>
      <w:outlineLvl w:val="9"/>
    </w:pPr>
    <w:rPr>
      <w:rFonts w:ascii="Cambria" w:hAnsi="Cambria"/>
      <w:color w:val="365F91"/>
      <w:kern w:val="0"/>
      <w:szCs w:val="28"/>
      <w:lang w:eastAsia="en-US"/>
    </w:rPr>
  </w:style>
  <w:style w:type="paragraph" w:styleId="11">
    <w:name w:val="toc 1"/>
    <w:basedOn w:val="a"/>
    <w:next w:val="a"/>
    <w:autoRedefine/>
    <w:uiPriority w:val="39"/>
    <w:unhideWhenUsed/>
    <w:rsid w:val="00F67BDE"/>
  </w:style>
  <w:style w:type="paragraph" w:styleId="21">
    <w:name w:val="toc 2"/>
    <w:basedOn w:val="a"/>
    <w:next w:val="a"/>
    <w:autoRedefine/>
    <w:uiPriority w:val="39"/>
    <w:unhideWhenUsed/>
    <w:rsid w:val="00F67BDE"/>
    <w:pPr>
      <w:ind w:left="220"/>
    </w:pPr>
  </w:style>
  <w:style w:type="character" w:styleId="aa">
    <w:name w:val="Hyperlink"/>
    <w:basedOn w:val="a0"/>
    <w:uiPriority w:val="99"/>
    <w:unhideWhenUsed/>
    <w:rsid w:val="00F67BDE"/>
    <w:rPr>
      <w:color w:val="0000FF"/>
      <w:u w:val="single"/>
    </w:rPr>
  </w:style>
  <w:style w:type="paragraph" w:styleId="ab">
    <w:name w:val="Balloon Text"/>
    <w:basedOn w:val="a"/>
    <w:link w:val="ac"/>
    <w:uiPriority w:val="99"/>
    <w:semiHidden/>
    <w:unhideWhenUsed/>
    <w:rsid w:val="006802A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802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770608">
      <w:bodyDiv w:val="1"/>
      <w:marLeft w:val="0"/>
      <w:marRight w:val="0"/>
      <w:marTop w:val="0"/>
      <w:marBottom w:val="0"/>
      <w:divBdr>
        <w:top w:val="none" w:sz="0" w:space="0" w:color="auto"/>
        <w:left w:val="none" w:sz="0" w:space="0" w:color="auto"/>
        <w:bottom w:val="none" w:sz="0" w:space="0" w:color="auto"/>
        <w:right w:val="none" w:sz="0" w:space="0" w:color="auto"/>
      </w:divBdr>
    </w:div>
    <w:div w:id="498926238">
      <w:bodyDiv w:val="1"/>
      <w:marLeft w:val="0"/>
      <w:marRight w:val="0"/>
      <w:marTop w:val="0"/>
      <w:marBottom w:val="0"/>
      <w:divBdr>
        <w:top w:val="none" w:sz="0" w:space="0" w:color="auto"/>
        <w:left w:val="none" w:sz="0" w:space="0" w:color="auto"/>
        <w:bottom w:val="none" w:sz="0" w:space="0" w:color="auto"/>
        <w:right w:val="none" w:sz="0" w:space="0" w:color="auto"/>
      </w:divBdr>
    </w:div>
    <w:div w:id="1253320440">
      <w:bodyDiv w:val="1"/>
      <w:marLeft w:val="0"/>
      <w:marRight w:val="0"/>
      <w:marTop w:val="0"/>
      <w:marBottom w:val="0"/>
      <w:divBdr>
        <w:top w:val="none" w:sz="0" w:space="0" w:color="auto"/>
        <w:left w:val="none" w:sz="0" w:space="0" w:color="auto"/>
        <w:bottom w:val="none" w:sz="0" w:space="0" w:color="auto"/>
        <w:right w:val="none" w:sz="0" w:space="0" w:color="auto"/>
      </w:divBdr>
    </w:div>
    <w:div w:id="165171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B220B-EE73-4864-A5D6-A5397FF4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39</Pages>
  <Words>8305</Words>
  <Characters>47344</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2017-12-06T10:06:00Z</dcterms:created>
  <dcterms:modified xsi:type="dcterms:W3CDTF">2017-12-15T16:09:00Z</dcterms:modified>
</cp:coreProperties>
</file>