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МИНИСТЕРСТВО ОБРАЗОВАНИЯ </w:t>
      </w:r>
      <w:bookmarkStart w:id="0" w:name="_GoBack"/>
      <w:bookmarkEnd w:id="0"/>
      <w:r w:rsidRPr="007C57E6">
        <w:rPr>
          <w:rFonts w:ascii="Times New Roman" w:eastAsia="Calibri" w:hAnsi="Times New Roman" w:cs="Times New Roman"/>
          <w:sz w:val="28"/>
          <w:szCs w:val="28"/>
        </w:rPr>
        <w:t>И НАУКИ РОССИИ</w:t>
      </w: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Федеральное государственное бюджетное образовательное</w:t>
      </w: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учреждение высшего профессионального образования</w:t>
      </w: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«ПЕНЗЕНСКИЙ ГОСУДАРСТВЕННЫЙ УНИВЕРСИТЕТ»</w:t>
      </w: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ФАКУЛЬТЕТ СТОМАТОЛОГИИ</w:t>
      </w: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КАФЕДРА «СТОМАТОЛОГИЯ»</w:t>
      </w: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32"/>
          <w:szCs w:val="28"/>
        </w:rPr>
      </w:pPr>
      <w:r w:rsidRPr="007C57E6">
        <w:rPr>
          <w:rFonts w:ascii="Times New Roman" w:eastAsia="Calibri" w:hAnsi="Times New Roman" w:cs="Times New Roman"/>
          <w:sz w:val="32"/>
          <w:szCs w:val="28"/>
        </w:rPr>
        <w:t>КУРСОВАЯ РАБОТА</w:t>
      </w: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по дисциплине «Местное обезболивание и анестезиология в стоматологии»</w:t>
      </w: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«Метаболизм местных анестетиков и механизм их действия»</w:t>
      </w:r>
    </w:p>
    <w:p w:rsidR="007C57E6" w:rsidRPr="007C57E6" w:rsidRDefault="007C57E6" w:rsidP="007C57E6">
      <w:pPr>
        <w:spacing w:after="0" w:line="360" w:lineRule="auto"/>
        <w:ind w:left="567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ind w:left="567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ind w:firstLine="382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Выполнил: студент группы 18ЛС9</w:t>
      </w:r>
    </w:p>
    <w:p w:rsidR="007C57E6" w:rsidRPr="007C57E6" w:rsidRDefault="007C57E6" w:rsidP="007C57E6">
      <w:pPr>
        <w:spacing w:after="0" w:line="360" w:lineRule="auto"/>
        <w:ind w:firstLine="382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Мирзоев Ш.Н.</w:t>
      </w:r>
    </w:p>
    <w:p w:rsidR="007C57E6" w:rsidRPr="007C57E6" w:rsidRDefault="007C57E6" w:rsidP="007C57E6">
      <w:pPr>
        <w:spacing w:after="0" w:line="360" w:lineRule="auto"/>
        <w:ind w:firstLine="3828"/>
        <w:rPr>
          <w:rFonts w:ascii="Times New Roman" w:eastAsia="Calibri" w:hAnsi="Times New Roman" w:cs="Times New Roman"/>
          <w:i/>
          <w:sz w:val="32"/>
          <w:szCs w:val="32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Проверила: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Костригина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Е.Д.</w:t>
      </w:r>
    </w:p>
    <w:p w:rsidR="007C57E6" w:rsidRPr="007C57E6" w:rsidRDefault="007C57E6" w:rsidP="007C57E6">
      <w:pPr>
        <w:spacing w:after="0" w:line="360" w:lineRule="auto"/>
        <w:ind w:firstLine="3828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ind w:firstLine="3828"/>
        <w:rPr>
          <w:rFonts w:ascii="Times New Roman" w:eastAsia="Calibri" w:hAnsi="Times New Roman" w:cs="Times New Roman"/>
          <w:i/>
          <w:sz w:val="32"/>
          <w:szCs w:val="32"/>
        </w:rPr>
      </w:pPr>
    </w:p>
    <w:p w:rsidR="007C57E6" w:rsidRPr="007C57E6" w:rsidRDefault="007C57E6" w:rsidP="007C57E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816712" w:rsidP="007C57E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Пенза 2020</w:t>
      </w:r>
      <w:r w:rsidR="007C57E6" w:rsidRPr="007C57E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C57E6" w:rsidRPr="007C57E6" w:rsidRDefault="007C57E6" w:rsidP="007C57E6">
      <w:pPr>
        <w:keepNext/>
        <w:keepLine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</w:t>
      </w:r>
    </w:p>
    <w:sdt>
      <w:sdtPr>
        <w:rPr>
          <w:rFonts w:ascii="Times New Roman" w:eastAsia="Calibri" w:hAnsi="Times New Roman" w:cs="Times New Roman"/>
          <w:sz w:val="28"/>
          <w:szCs w:val="28"/>
        </w:rPr>
        <w:id w:val="-1761440002"/>
        <w:docPartObj>
          <w:docPartGallery w:val="Table of Contents"/>
          <w:docPartUnique/>
        </w:docPartObj>
      </w:sdtPr>
      <w:sdtContent>
        <w:p w:rsidR="007C57E6" w:rsidRPr="007C57E6" w:rsidRDefault="007C57E6" w:rsidP="007C57E6">
          <w:pPr>
            <w:spacing w:after="0" w:line="360" w:lineRule="auto"/>
            <w:ind w:firstLine="709"/>
            <w:jc w:val="both"/>
            <w:rPr>
              <w:rFonts w:ascii="Times New Roman" w:eastAsia="Calibri" w:hAnsi="Times New Roman" w:cs="Times New Roman"/>
              <w:sz w:val="28"/>
              <w:szCs w:val="28"/>
            </w:rPr>
          </w:pPr>
        </w:p>
        <w:p w:rsidR="007C57E6" w:rsidRPr="007C57E6" w:rsidRDefault="007C57E6" w:rsidP="007C57E6">
          <w:pPr>
            <w:tabs>
              <w:tab w:val="right" w:leader="dot" w:pos="9345"/>
            </w:tabs>
            <w:spacing w:after="0" w:line="360" w:lineRule="auto"/>
            <w:jc w:val="both"/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</w:pPr>
          <w:r w:rsidRPr="007C57E6">
            <w:rPr>
              <w:rFonts w:ascii="Times New Roman" w:eastAsia="Times New Roman" w:hAnsi="Times New Roman" w:cs="Times New Roman"/>
              <w:sz w:val="28"/>
              <w:szCs w:val="28"/>
            </w:rPr>
            <w:fldChar w:fldCharType="begin"/>
          </w:r>
          <w:r w:rsidRPr="007C57E6">
            <w:rPr>
              <w:rFonts w:ascii="Times New Roman" w:eastAsia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7C57E6">
            <w:rPr>
              <w:rFonts w:ascii="Times New Roman" w:eastAsia="Times New Roman" w:hAnsi="Times New Roman" w:cs="Times New Roman"/>
              <w:sz w:val="28"/>
              <w:szCs w:val="28"/>
            </w:rPr>
            <w:fldChar w:fldCharType="separate"/>
          </w:r>
          <w:hyperlink r:id="rId6" w:anchor="_Toc399105300" w:history="1">
            <w:r w:rsidRPr="007C57E6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u w:val="single"/>
              </w:rPr>
              <w:t>Введение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ab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begin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instrText xml:space="preserve"> PAGEREF _Toc399105300 \h </w:instrTex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separate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>3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:rsidR="007C57E6" w:rsidRPr="007C57E6" w:rsidRDefault="007C57E6" w:rsidP="007C57E6">
          <w:pPr>
            <w:tabs>
              <w:tab w:val="right" w:leader="dot" w:pos="9345"/>
            </w:tabs>
            <w:spacing w:after="0" w:line="360" w:lineRule="auto"/>
            <w:jc w:val="both"/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</w:pPr>
          <w:hyperlink r:id="rId7" w:anchor="_Toc399105301" w:history="1">
            <w:r w:rsidRPr="007C57E6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u w:val="single"/>
                <w:lang w:eastAsia="ru-RU"/>
              </w:rPr>
              <w:t>1. Фармакологическая основа местных анестетиков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ab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begin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instrText xml:space="preserve"> PAGEREF _Toc399105301 \h </w:instrTex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separate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>4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:rsidR="007C57E6" w:rsidRPr="007C57E6" w:rsidRDefault="007C57E6" w:rsidP="007C57E6">
          <w:pPr>
            <w:tabs>
              <w:tab w:val="right" w:leader="dot" w:pos="9345"/>
            </w:tabs>
            <w:spacing w:after="0" w:line="360" w:lineRule="auto"/>
            <w:jc w:val="both"/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</w:pPr>
          <w:hyperlink r:id="rId8" w:anchor="_Toc399105305" w:history="1">
            <w:r w:rsidRPr="007C57E6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u w:val="single"/>
                <w:lang w:eastAsia="ru-RU"/>
              </w:rPr>
              <w:t>2. Действие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ab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begin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instrText xml:space="preserve"> PAGEREF _Toc399105305 \h </w:instrTex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separate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>10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:rsidR="007C57E6" w:rsidRPr="007C57E6" w:rsidRDefault="007C57E6" w:rsidP="007C57E6">
          <w:pPr>
            <w:tabs>
              <w:tab w:val="right" w:leader="dot" w:pos="9345"/>
            </w:tabs>
            <w:spacing w:after="0" w:line="360" w:lineRule="auto"/>
            <w:jc w:val="both"/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</w:pPr>
          <w:hyperlink r:id="rId9" w:anchor="_Toc399105306" w:history="1">
            <w:r w:rsidRPr="007C57E6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u w:val="single"/>
              </w:rPr>
              <w:t>3. Всасывание местных анестетиков в системный кровоток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ab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begin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instrText xml:space="preserve"> PAGEREF _Toc399105306 \h </w:instrTex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separate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>13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:rsidR="007C57E6" w:rsidRPr="007C57E6" w:rsidRDefault="007C57E6" w:rsidP="007C57E6">
          <w:pPr>
            <w:tabs>
              <w:tab w:val="right" w:leader="dot" w:pos="9345"/>
            </w:tabs>
            <w:spacing w:after="0" w:line="360" w:lineRule="auto"/>
            <w:jc w:val="both"/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</w:pPr>
          <w:hyperlink r:id="rId10" w:anchor="_Toc399105307" w:history="1">
            <w:r w:rsidRPr="007C57E6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u w:val="single"/>
              </w:rPr>
              <w:t>4. Фармакокинетика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ab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begin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instrText xml:space="preserve"> PAGEREF _Toc399105307 \h </w:instrTex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separate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>15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:rsidR="007C57E6" w:rsidRPr="007C57E6" w:rsidRDefault="007C57E6" w:rsidP="007C57E6">
          <w:pPr>
            <w:tabs>
              <w:tab w:val="right" w:leader="dot" w:pos="9345"/>
            </w:tabs>
            <w:spacing w:after="0" w:line="360" w:lineRule="auto"/>
            <w:jc w:val="both"/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</w:pPr>
          <w:hyperlink r:id="rId11" w:anchor="_Toc399105308" w:history="1">
            <w:r w:rsidRPr="007C57E6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u w:val="single"/>
              </w:rPr>
              <w:t>5. Метаболизм и элиминация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ab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begin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instrText xml:space="preserve"> PAGEREF _Toc399105308 \h </w:instrTex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separate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>16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:rsidR="007C57E6" w:rsidRPr="007C57E6" w:rsidRDefault="007C57E6" w:rsidP="007C57E6">
          <w:pPr>
            <w:tabs>
              <w:tab w:val="right" w:leader="dot" w:pos="9345"/>
            </w:tabs>
            <w:spacing w:after="0" w:line="360" w:lineRule="auto"/>
            <w:jc w:val="both"/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</w:pPr>
          <w:hyperlink r:id="rId12" w:anchor="_Toc399105309" w:history="1">
            <w:r w:rsidRPr="007C57E6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u w:val="single"/>
              </w:rPr>
              <w:t>Заключение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ab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begin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instrText xml:space="preserve"> PAGEREF _Toc399105309 \h </w:instrTex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separate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>19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:rsidR="007C57E6" w:rsidRPr="007C57E6" w:rsidRDefault="007C57E6" w:rsidP="007C57E6">
          <w:pPr>
            <w:tabs>
              <w:tab w:val="right" w:leader="dot" w:pos="9345"/>
            </w:tabs>
            <w:spacing w:after="0" w:line="360" w:lineRule="auto"/>
            <w:jc w:val="both"/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</w:pPr>
          <w:hyperlink r:id="rId13" w:anchor="_Toc399105310" w:history="1">
            <w:r w:rsidRPr="007C57E6">
              <w:rPr>
                <w:rFonts w:ascii="Times New Roman" w:eastAsia="Times New Roman" w:hAnsi="Times New Roman" w:cs="Times New Roman"/>
                <w:noProof/>
                <w:color w:val="0000FF"/>
                <w:sz w:val="28"/>
                <w:szCs w:val="28"/>
                <w:u w:val="single"/>
              </w:rPr>
              <w:t>Список используемых источников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ab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begin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instrText xml:space="preserve"> PAGEREF _Toc399105310 \h </w:instrTex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separate"/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t>20</w:t>
            </w:r>
            <w:r w:rsidRPr="007C57E6">
              <w:rPr>
                <w:rFonts w:ascii="Times New Roman" w:eastAsia="Times New Roman" w:hAnsi="Times New Roman" w:cs="Times New Roman"/>
                <w:noProof/>
                <w:webHidden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:rsidR="007C57E6" w:rsidRPr="007C57E6" w:rsidRDefault="007C57E6" w:rsidP="007C57E6">
          <w:pPr>
            <w:spacing w:after="0" w:line="360" w:lineRule="auto"/>
            <w:jc w:val="both"/>
            <w:rPr>
              <w:rFonts w:ascii="Times New Roman" w:eastAsia="Calibri" w:hAnsi="Times New Roman" w:cs="Times New Roman"/>
            </w:rPr>
          </w:pPr>
          <w:r w:rsidRPr="007C57E6">
            <w:rPr>
              <w:rFonts w:ascii="Times New Roman" w:eastAsia="Calibri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C57E6" w:rsidRPr="007C57E6" w:rsidRDefault="007C57E6" w:rsidP="007C57E6">
      <w:pPr>
        <w:keepNext/>
        <w:spacing w:line="360" w:lineRule="auto"/>
        <w:ind w:firstLine="709"/>
        <w:jc w:val="both"/>
        <w:outlineLvl w:val="0"/>
        <w:rPr>
          <w:rFonts w:ascii="Times New Roman" w:eastAsia="Calibri" w:hAnsi="Times New Roman" w:cs="Arial"/>
          <w:b/>
          <w:bCs/>
          <w:kern w:val="32"/>
          <w:sz w:val="28"/>
          <w:szCs w:val="32"/>
        </w:rPr>
      </w:pPr>
      <w:bookmarkStart w:id="1" w:name="_Toc399105300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</w:rPr>
        <w:t>Введение</w:t>
      </w:r>
      <w:bookmarkEnd w:id="1"/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Местно-анестезирующие средства (от греч.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anaesthesia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— нечувствительность) — это лекарственные вещества временно подавляющие возбудимость окончаний чувствительных нервов и блокирующие проведение 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им-пульсов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по нервным волокнам (проводникам), а также способные вызывать местную или регионарную потерю чувствительности. В отличие от общих анестетиков (средства для наркоза) они не вызывают потерю сознания.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Группа местно-анестезирующих средств объединяет различные классы органических веществ, большинство из них — азотистые соединения. Как уже было сказано выше, первым анестезирующим средством, примененным в медицинской практике, был кокаин. Анестезирующее действие кокаина обусловлено наличием в его молекуле азотсодержащего комплекса основного характера —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экгонина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бензоильной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группы. На этой основе были синтезированы анестезин, новокаин и большое число эфиров и амидов бензойной, парааминобензойной, парааминосалициловой,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парааминонафтойной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других кислот. В настоящее время местные анестетики по химической структуре делят на две группы: сложные эфиры и сложные амиды кислот.</w:t>
      </w:r>
    </w:p>
    <w:p w:rsidR="007C57E6" w:rsidRPr="007C57E6" w:rsidRDefault="007C57E6" w:rsidP="007C57E6">
      <w:pPr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C57E6" w:rsidRPr="007C57E6" w:rsidRDefault="007C57E6" w:rsidP="007C57E6">
      <w:pPr>
        <w:keepNext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Arial"/>
          <w:b/>
          <w:bCs/>
          <w:kern w:val="32"/>
          <w:sz w:val="28"/>
          <w:szCs w:val="32"/>
          <w:lang w:eastAsia="ru-RU"/>
        </w:rPr>
      </w:pPr>
      <w:bookmarkStart w:id="2" w:name="_Toc399105301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  <w:lang w:eastAsia="ru-RU"/>
        </w:rPr>
        <w:t>1. Фармакологическая основа местных анестетиков</w:t>
      </w:r>
      <w:bookmarkEnd w:id="2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  <w:lang w:eastAsia="ru-RU"/>
        </w:rPr>
        <w:t xml:space="preserve">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Химические смеси, которые обладают активностью местных анестетиков, обычно содержат ароматические группы, присоединенной </w:t>
      </w:r>
      <w:proofErr w:type="gram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аминной</w:t>
      </w:r>
      <w:proofErr w:type="spellEnd"/>
      <w:proofErr w:type="gram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промежуточной цепи. Клинически важные местные анестетики разделяются на две различные химические группы (Табл.1)[10]: сложные эфиры (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амино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-эфиры) и сложные амиды (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амино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-амиды). Сложные эфиры – это местные анестетики с эфирной связью между ароматической частью и промежуточной цепью (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хлоропрокаин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Амино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-амиды – это местные анестетики с амидной связью между ароматическим концом и промежуточной цепью (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Табл.1. Химическая структура, физико-химические и фармакологические свойства местных анестетиков </w:t>
      </w:r>
    </w:p>
    <w:tbl>
      <w:tblPr>
        <w:tblStyle w:val="a3"/>
        <w:tblW w:w="5200" w:type="pct"/>
        <w:tblInd w:w="0" w:type="dxa"/>
        <w:tblLook w:val="04A0" w:firstRow="1" w:lastRow="0" w:firstColumn="1" w:lastColumn="0" w:noHBand="0" w:noVBand="1"/>
      </w:tblPr>
      <w:tblGrid>
        <w:gridCol w:w="1968"/>
        <w:gridCol w:w="715"/>
        <w:gridCol w:w="2085"/>
        <w:gridCol w:w="1893"/>
        <w:gridCol w:w="2179"/>
        <w:gridCol w:w="2811"/>
      </w:tblGrid>
      <w:tr w:rsidR="007C57E6" w:rsidRPr="007C57E6" w:rsidTr="007C57E6">
        <w:tc>
          <w:tcPr>
            <w:tcW w:w="9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Агент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Физико-химические свойства </w:t>
            </w:r>
          </w:p>
        </w:tc>
        <w:tc>
          <w:tcPr>
            <w:tcW w:w="2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Анестетический профиль </w:t>
            </w:r>
          </w:p>
        </w:tc>
      </w:tr>
      <w:tr w:rsidR="007C57E6" w:rsidRPr="007C57E6" w:rsidTr="007C57E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7C57E6" w:rsidRDefault="007C57E6" w:rsidP="007C57E6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рКа</w:t>
            </w:r>
            <w:proofErr w:type="spellEnd"/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Коэффициент разделения </w:t>
            </w:r>
            <w:proofErr w:type="spellStart"/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октанол</w:t>
            </w:r>
            <w:proofErr w:type="spellEnd"/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/буфер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Наступления блока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Относительная мощность 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Продолжительность действия </w:t>
            </w:r>
          </w:p>
        </w:tc>
      </w:tr>
      <w:tr w:rsidR="007C57E6" w:rsidRPr="007C57E6" w:rsidTr="007C57E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Эфиры </w:t>
            </w:r>
          </w:p>
        </w:tc>
      </w:tr>
      <w:tr w:rsidR="007C57E6" w:rsidRPr="007C57E6" w:rsidTr="007C57E6"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>Прокаин</w:t>
            </w:r>
            <w:proofErr w:type="spellEnd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8.9 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81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медленное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короткая </w:t>
            </w:r>
          </w:p>
        </w:tc>
      </w:tr>
      <w:tr w:rsidR="007C57E6" w:rsidRPr="007C57E6" w:rsidTr="007C57E6"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>Хлоропрокаин</w:t>
            </w:r>
            <w:proofErr w:type="spellEnd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9.1 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720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быстрое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короткая </w:t>
            </w:r>
          </w:p>
        </w:tc>
      </w:tr>
      <w:tr w:rsidR="007C57E6" w:rsidRPr="007C57E6" w:rsidTr="007C57E6"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>Тетракаин</w:t>
            </w:r>
            <w:proofErr w:type="spellEnd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8.4 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3615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медленное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длинная </w:t>
            </w:r>
          </w:p>
        </w:tc>
      </w:tr>
      <w:tr w:rsidR="007C57E6" w:rsidRPr="007C57E6" w:rsidTr="007C57E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Амиды </w:t>
            </w:r>
          </w:p>
        </w:tc>
      </w:tr>
      <w:tr w:rsidR="007C57E6" w:rsidRPr="007C57E6" w:rsidTr="007C57E6"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>Мепивакаин</w:t>
            </w:r>
            <w:proofErr w:type="spellEnd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7.7 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90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быстрое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средняя </w:t>
            </w:r>
          </w:p>
        </w:tc>
      </w:tr>
      <w:tr w:rsidR="007C57E6" w:rsidRPr="007C57E6" w:rsidTr="007C57E6"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>Прилокаин</w:t>
            </w:r>
            <w:proofErr w:type="spellEnd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7.8 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129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быстрое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средняя </w:t>
            </w:r>
          </w:p>
        </w:tc>
      </w:tr>
      <w:tr w:rsidR="007C57E6" w:rsidRPr="007C57E6" w:rsidTr="007C57E6"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>Лидокаин</w:t>
            </w:r>
            <w:proofErr w:type="spellEnd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304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быстрое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средняя </w:t>
            </w:r>
          </w:p>
        </w:tc>
      </w:tr>
      <w:tr w:rsidR="007C57E6" w:rsidRPr="007C57E6" w:rsidTr="007C57E6"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>Бупивакаин</w:t>
            </w:r>
            <w:proofErr w:type="spellEnd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8.1 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2565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средней скорости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длинная </w:t>
            </w:r>
          </w:p>
        </w:tc>
      </w:tr>
      <w:tr w:rsidR="007C57E6" w:rsidRPr="007C57E6" w:rsidTr="007C57E6"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>Этидокаин</w:t>
            </w:r>
            <w:proofErr w:type="spellEnd"/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7.9 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4900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быстрое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C57E6" w:rsidRDefault="007C57E6" w:rsidP="007C57E6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57E6">
              <w:rPr>
                <w:rFonts w:eastAsia="Times New Roman"/>
                <w:sz w:val="28"/>
                <w:szCs w:val="28"/>
                <w:lang w:eastAsia="ru-RU"/>
              </w:rPr>
              <w:t xml:space="preserve">длинная </w:t>
            </w:r>
          </w:p>
        </w:tc>
      </w:tr>
    </w:tbl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Структуры эфира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амида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различаются: </w:t>
      </w:r>
    </w:p>
    <w:p w:rsidR="007C57E6" w:rsidRPr="007C57E6" w:rsidRDefault="007C57E6" w:rsidP="007C57E6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Способом, которым они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метаболизируются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химической стабильностью в растворах </w:t>
      </w:r>
    </w:p>
    <w:p w:rsidR="007C57E6" w:rsidRPr="007C57E6" w:rsidRDefault="007C57E6" w:rsidP="007C57E6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потенциальной возможностью вызывать аллергические реакции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Агенты эфира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гидролизуются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плазме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псевдохолинэстеразой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тогда как смеси амидов подвергаются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энзиматической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деградации печени. Сложные эфиры являются чем-то нестабильным соединением в растворах, тогда как амиды чрезвычайно стабильны. Пара-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амидобензойная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кислота является метаболитом, образованным путем гидролиза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эфироподобных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смесей, и именно эта субстанция является причиной аллергических реакций у многих пациентов. Амидные препараты не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метаболизируются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пара-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амидобензойной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кислоты и аллергия к этим препаратам встречается чрезвычайно редко.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Анестетический профиль местного анестетика связан </w:t>
      </w:r>
      <w:proofErr w:type="gram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C57E6" w:rsidRPr="007C57E6" w:rsidRDefault="007C57E6" w:rsidP="007C57E6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Жирорастворимсостью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Связыванием протеинов </w:t>
      </w:r>
    </w:p>
    <w:p w:rsidR="007C57E6" w:rsidRPr="007C57E6" w:rsidRDefault="007C57E6" w:rsidP="007C57E6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Присущей сосудорасширяющей активностью.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_Toc399105302"/>
      <w:proofErr w:type="spellStart"/>
      <w:r w:rsidRPr="007C5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Жирорастворимость</w:t>
      </w:r>
      <w:bookmarkEnd w:id="3"/>
      <w:proofErr w:type="spellEnd"/>
      <w:r w:rsidRPr="007C5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Жирорастворимость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важной характеристикой, определяющей обезболивающую эффективность препарата.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Жирорастворимость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определенная измерением коэффициента распределения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октанол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буффер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равна 81, и этот препарат является наименее эффективным в подавлении проводимости на изолированном нерве.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 коэффициенты распределения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бупивакаина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этидокаина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высоки и варьируют от 2565 до 4900. Следовательно, эти агенты являются чрезвычайно жирорастворимыми и обеспечивают блокаду проводимости на изолированных нервах при очень низких концентрациях. Взаимосвязь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жирорасворимости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эффективностью анестетика, присущей конкретному препарату, объясняется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липопротеновым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составом мембраны нервной клетки. Приблизительно на 90%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аксолемма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жира. Следовательно,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местноанестезирующие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агенты, которые высоко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жирорастворимы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легче проникают через клеточную мембрану нерва и имеют большую эффективность.[3]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Toc399105303"/>
      <w:r w:rsidRPr="007C5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Связывание протеинов</w:t>
      </w:r>
      <w:bookmarkEnd w:id="4"/>
      <w:r w:rsidRPr="007C5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Протеин-связывающая характеристика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местноанестезирующих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агентов в первую очередь влияет на продолжительность их действия. Агенты с коротким периодом действия, такие как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плохо связывают протеины. Наоборот,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«жадно» </w:t>
      </w:r>
      <w:proofErr w:type="gram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связываются с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протеинамии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</w:t>
      </w:r>
      <w:proofErr w:type="gram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самую длительную продолжительность анестезии. Взаимосвязь между связыванием протеинов и продолжительностью действия также согласуется со структурой мембраны нервной клетки. Протеины составляют примерно 10% мембраны нерва. Следовательно, агенты, которые проникают сквозь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аксолемму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более жестко присоединяются к протеинам мембраны, имеют пролонгированную продолжительность анестетического действия.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5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рКа</w:t>
      </w:r>
      <w:proofErr w:type="spellEnd"/>
      <w:r w:rsidRPr="007C5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химической смеси является рН, при </w:t>
      </w:r>
      <w:proofErr w:type="gram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proofErr w:type="gram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концентрация ионизированных и неионизированных форм одинакова (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vide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supra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Поскольку именно незаряженные основания диффундируют через оболочку нерва, время наступления анестезии связано с количеством препарата, находящегося в форме основания. Процент местного анестетика в форме основания при введении его в ткань, чье рН составляет 7.4, обратно пропорционален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агента. </w:t>
      </w:r>
      <w:proofErr w:type="gram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равным 7.78, в ткани с рН, равным 7.4, ионизирован на 65%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неионизирован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35%. С другой стороны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равным 8.4, в ткани с рН, равным 7.4, ионизирован на 95%, а его неионизированная форма составляет только 5%. Исследования на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изоливанных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нервных клетках подтверждают, что препараты местных анестетиков, такие как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чье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ближе к</w:t>
      </w:r>
      <w:proofErr w:type="gram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тканевому</w:t>
      </w:r>
      <w:proofErr w:type="gram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рН, обеспечивают более быстрое наступление блока, чем агенты с высокими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такие как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1). </w:t>
      </w:r>
    </w:p>
    <w:p w:rsidR="007C57E6" w:rsidRPr="007C57E6" w:rsidRDefault="007C57E6" w:rsidP="007C57E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DA995B" wp14:editId="7439DF9E">
            <wp:extent cx="3810000" cy="3629025"/>
            <wp:effectExtent l="0" t="0" r="0" b="9525"/>
            <wp:docPr id="13" name="Рисунок 3" descr="http://www.critical.ru/RegionarSchool/content/_view/lessons/121/images/0010/0010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critical.ru/RegionarSchool/content/_view/lessons/121/images/0010/0010_0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Рис.1.Отношение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проценту оснований (рН = 7.4) и времени для 50% блокады проводимости на изолированном нерве.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A.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B.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C.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D.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Прокаин</w:t>
      </w:r>
      <w:proofErr w:type="spellEnd"/>
    </w:p>
    <w:p w:rsidR="007C57E6" w:rsidRPr="007C57E6" w:rsidRDefault="007C57E6" w:rsidP="007C57E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5" w:name="_Toc399105304"/>
      <w:r w:rsidRPr="007C5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Выраженная сосудорасширяющая активность</w:t>
      </w:r>
      <w:bookmarkEnd w:id="5"/>
      <w:r w:rsidRPr="007C5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Выраженная сосудорасширяющая активность агентов местных анестетиков также влияет на эффективность и продолжительность действия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vivo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особенно на участках, отличных от субарахноидального пространства. Степень и продолжительность блока связана с количеством препарата местного анестетика, который диффундирует на рецепторы участка мембраны нерва. После инъекции часть препарата проникает в нервную клетку, а часть попадает в сосудистое русло (Рис. 2). </w:t>
      </w:r>
    </w:p>
    <w:p w:rsidR="007C57E6" w:rsidRPr="007C57E6" w:rsidRDefault="007C57E6" w:rsidP="007C57E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79F57B" wp14:editId="58CB4A0C">
            <wp:extent cx="2867025" cy="1676400"/>
            <wp:effectExtent l="0" t="0" r="9525" b="0"/>
            <wp:docPr id="14" name="Рисунок 4" descr="http://www.critical.ru/RegionarSchool/content/_view/lessons/121/images/0010/0010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critical.ru/RegionarSchool/content/_view/lessons/121/images/0010/0010_0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Рис.2. Вслед за инъекцией часть препарата адсорбируется в сосудистое ложе. Остаток диффундирует в нервные волокна и жировую ткань.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абсорбированного сосудами препарата соответствует величине кровотока через область, в которую вводится препарат. За исключением кокаина, препараты местных анестетиков вызывают расширение сосудов. Однако степень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вазодилатации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обусловленной</w:t>
      </w:r>
      <w:proofErr w:type="gram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разными агентами, различна. В исследованиях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vitro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показано, что обезболивающая эффективность, присущая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лидокаину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значительно выше, чем у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мепивакаина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тогда как продолжительность действия их одинакова. Однако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vivo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таким же по эффективности, но обеспечивает более длительную продолжительность анестезии, чем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Эти различия между результатами, полученными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vivo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vitro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обусловлены большей сосудорасширяющей активностью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proofErr w:type="gram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исследованиях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vivo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больше абсорбируется сосудами, и поэтому меньше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остается доступным для блокады нервов. [13]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субарахноидальном пространстве сосудорасширяющая активность оказывает намного меньшее влияние, чем на других участках инъекции.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химические изменения в пределах гомологичной группы агентов местных анестетиков вызывают количественные изменения физико-химических свойств, таких как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жирорастворимость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связывание с протеинами, что влияет на анестетические свойства препаратов (Табл. 1). Например, в ряду эфиров добавление бутиловой группы к ароматическому концу молекулы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 к образованию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агента, обладающего более выраженной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жирорастворимостью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связыванием с протеинами, что обеспечивает большую анестетическую эффективность и более длительную продолжительность действия. В ряде амидов подстановка бутиловой группы </w:t>
      </w:r>
      <w:proofErr w:type="gram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</w:t>
      </w:r>
      <w:proofErr w:type="gram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метиловой на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аминном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мепивакаина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трансформирует этот агент в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Точно так же, постановка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пропиловой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вместо этиловой на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аминном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лидокаина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добавление этиловой группы к альфа-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углеваду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промежуточной цепи дает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 растворяются в жирах, лучше связываются с белками и, следовательно, имеют большую эффективность и более длительную продолжительность действия, чем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различия в анестетической эффективности и продолжительности действия можно классифицировать смеси местных анестетиков на три категории: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I . Агенты с низкой анестетической эффективностью и короткой продолжительностью действия (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хлоропрокаин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II . Агенты со средней анестетической эффективностью и продолжительностью действия (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III . Агенты с высокой анестетической эффективностью и длительной продолжительностью действия (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бупивакаин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этидокаин</w:t>
      </w:r>
      <w:proofErr w:type="spellEnd"/>
      <w:r w:rsidRPr="007C57E6">
        <w:rPr>
          <w:rFonts w:ascii="Times New Roman" w:eastAsia="Times New Roman" w:hAnsi="Times New Roman" w:cs="Times New Roman"/>
          <w:sz w:val="28"/>
          <w:szCs w:val="28"/>
          <w:lang w:eastAsia="ru-RU"/>
        </w:rPr>
        <w:t>).[9]</w:t>
      </w:r>
    </w:p>
    <w:p w:rsidR="007C57E6" w:rsidRPr="007C57E6" w:rsidRDefault="007C57E6" w:rsidP="007C57E6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7C57E6" w:rsidRPr="007C57E6" w:rsidRDefault="007C57E6" w:rsidP="007C57E6">
      <w:pPr>
        <w:keepNext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6" w:name="_Toc399105305"/>
      <w:r w:rsidRPr="007C57E6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2. Действие</w:t>
      </w:r>
      <w:bookmarkEnd w:id="6"/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Несмотря на энтузиазм химических исследований в начале XX столетия, знаний о действии этих препаратов было очень мало. Совершенствование экспериментальных технологий в 60-х годах позволило получить ясное представление о действии местных анестетиков на клетку. Вещества, структурно близкие этим препаратам, обладают сходным механизмом и местом действия. Несмотря на то, что точный механизм молекулярного действия все еще обсуждается [2], основная последовательность событий при блокаде проведения импульса по нервному волокну изучена.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Применение местных анестетиков к изолированным нервным волокнам вызывает нарушение их функции, связанное с блокадой мембранной деполяризации. Целостность клетки и ее метаболизм не изменяются, однако, когда концентрация анестетика в нанесенном растворе достигает определенного уровня, проведения электрического импульса в ответ на электрическую стимуляцию (деполяризация) не происходит. Происходит блокада проникновения натрия в клетку, который вызывает процесс деполяризации в нормальных условиях. На процесс </w:t>
      </w:r>
      <w:proofErr w:type="spellStart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реполяризации</w:t>
      </w:r>
      <w:proofErr w:type="spellEnd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связанной с током калия через особые калиевые каналы, действия не оказывается. Физическая блокада, или конформационные изменения в натриевых каналах, вызванные катионной формой местных анестетиков, приводят к их временной дисфункции.[15]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Действия на наружное отверстие натриевого канала не оказывается. </w:t>
      </w:r>
      <w:proofErr w:type="gramStart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На-хождение</w:t>
      </w:r>
      <w:proofErr w:type="gramEnd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анестетика в непосредственной близости к наружному отверстию натриевого канала само по себе не вызывает нарушения проводимости, как было продемонстрировано в экспериментах с постоянным орошением нервного волокна ионизированными молекулами </w:t>
      </w:r>
      <w:proofErr w:type="spellStart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лидокаина</w:t>
      </w:r>
      <w:proofErr w:type="spellEnd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Эта ионизированная (катионная) форма местного анестетика не может проникнуть через липидный слой мембраны клетки или войти в канал непосредственно через его наружное отверстие. Неионизированная (жирорастворимая) основная форма молекулы должна сначала проникнуть сквозь оболочку клетки и достичь </w:t>
      </w:r>
      <w:proofErr w:type="spellStart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аксоплазмы</w:t>
      </w:r>
      <w:proofErr w:type="spellEnd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(рис. 3).</w:t>
      </w:r>
    </w:p>
    <w:p w:rsidR="007C57E6" w:rsidRPr="007C57E6" w:rsidRDefault="007C57E6" w:rsidP="007C57E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499506" wp14:editId="66E6C60B">
            <wp:extent cx="5343525" cy="3124200"/>
            <wp:effectExtent l="0" t="0" r="9525" b="0"/>
            <wp:docPr id="15" name="Рисунок 5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mage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Рис. 3. Равновесный баланс местных анестетиков при прохождении клеточной мембраны. Местные анестетики существуют в тканях в равновесном состоянии между ионизированной солью и слаборастворимым основанием (B). Неионизированное основание обладает большей способностью проникать через липидные барьеры </w:t>
      </w:r>
      <w:proofErr w:type="spellStart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эпиневрия</w:t>
      </w:r>
      <w:proofErr w:type="spellEnd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клеточной стенки, при этом на каждом уровне восстанавливается равновесие концентраций с ионизированной формой в соотношении, зависящем от кислотности тканей и константы диссоциации самого соединения. Основание может достигать натриевого канала путем прямой диффузии через </w:t>
      </w:r>
      <w:proofErr w:type="gramStart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внутреннюю</w:t>
      </w:r>
      <w:proofErr w:type="gramEnd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аксолемму</w:t>
      </w:r>
      <w:proofErr w:type="spellEnd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однако наиболее вероятным является поступление в натриевый канал и связывание с его рецепторами именно ионизированной формы с внутренней стороны </w:t>
      </w:r>
      <w:proofErr w:type="spellStart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аксоплазмы</w:t>
      </w:r>
      <w:proofErr w:type="spellEnd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Находясь внутри, молекула снова может равновесно существовать как в ионизированной, так и неионизированной </w:t>
      </w:r>
      <w:proofErr w:type="gramStart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формах</w:t>
      </w:r>
      <w:proofErr w:type="gramEnd"/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это приводит к тому, что катионные формы молекул во время деполяризации могут проникать в канал со стороны его внутреннего отверстия и нарушать ток ионов натрия. Эта блокада является зависимой от концентрации и, чтобы преодолеть природные резервы проводимости в нервных клетках млекопитающих, требуется нарушение тока через несколько смежных каналов (рис. 4). Взаимодействие местного анестетика с каналом является обратимым, оно заканчивается, когда концентрация местного анестетика становится ниже н</w:t>
      </w:r>
      <w:r w:rsidR="00816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еобходимого минимального уровня.[18</w:t>
      </w:r>
      <w:r w:rsidR="00816712" w:rsidRPr="00816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</w:p>
    <w:p w:rsidR="007C57E6" w:rsidRPr="007C57E6" w:rsidRDefault="007C57E6" w:rsidP="007C57E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F1DC51" wp14:editId="1D9DDA22">
            <wp:extent cx="5410200" cy="2295525"/>
            <wp:effectExtent l="0" t="0" r="0" b="9525"/>
            <wp:docPr id="16" name="Рисунок 6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mage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7E6" w:rsidRPr="007C57E6" w:rsidRDefault="007C57E6" w:rsidP="007C57E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4. Классификация типов нервных волокон.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нарушения проводимости по большим миелинизированным волокнам требуется блокада трех рядом расположенных узлов. Несмотря на то, что в лабораторных условиях эти волокна, по сравнению с малыми волокнами, имеют доказанную равную или даже большую чувствительность к местным анестетикам, клинически более быстро проявляется блокада малых нервных волокон (болевых и симпатических). Это может быть связано с разницей в проникновении местного анестетика в жировую ткань, окружающую различные нервные стволы, или может отражать какой-либо компонент частотно-зависимой блокады.[8]</w:t>
      </w:r>
    </w:p>
    <w:p w:rsidR="007C57E6" w:rsidRPr="007C57E6" w:rsidRDefault="007C57E6" w:rsidP="007C57E6">
      <w:pPr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C57E6" w:rsidRPr="007C57E6" w:rsidRDefault="007C57E6" w:rsidP="007C57E6">
      <w:pPr>
        <w:keepNext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Arial"/>
          <w:b/>
          <w:bCs/>
          <w:kern w:val="32"/>
          <w:sz w:val="28"/>
          <w:szCs w:val="32"/>
        </w:rPr>
      </w:pPr>
      <w:bookmarkStart w:id="7" w:name="_Toc399105306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</w:rPr>
        <w:t>3. Всасывание местных анестетиков в системный кровоток</w:t>
      </w:r>
      <w:bookmarkEnd w:id="7"/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Значительная доля местных анестетиков после инъекции поступает в системный кровоток. Количество всосавшегося анестетика и его пиковая концентрация в плазме зависят от дозы препарата и присутствия в растворе вазоконстриктора (особенно при инфильтрационной и проводниковой анестезии). Имеет значение также методика анестезии: так, концентрация анестетика в плазме выше после межреберной и каудальной анестезии, чем после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эпидуральной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анестезии или блокады плечевого сплетения. Одна и та же доза местного анестетика может быть сопряжена с различным риском токсического воздействия в зависимости от методики анестезии. Такой разброс концентраций в основном зависит от степени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васкуляризации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тканей, хотя определенную роль играют и другие факторы (например, захват анестетика липидами тканей). Строгое соблюдение предписаний относительно допустимой дозы анестетика нивелирует потенциальные различия системной токсичности, обусловленные методикой анестезии.[6]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Многие местные анестетики активно всасываются через слизистые. Скорость всасывания тесно коррелирует с площадью обработанной анестетиком поверхности (например, скорость всасывания очень высока после распыления местного анестетика в дыхательных путях). Кроме того, на скорость всасывания влияет присущее местным анестетикам воздействие на тонус гладких мышц сосудов. Так, кокаин блокирует обратный захват катехоламинов нейронами и подавляет активность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моноаминоксидазы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; это приводит к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вазоконстрикции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замедляет всасывание. Большинство других местных анестетиков оказывает двухфазное действие на гладкую мускулатуру сосудов. В клинических концентрациях  все они вызывают ту или иную степень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вазодилатации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(в порядке убывания: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&gt;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прилокаин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&gt;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лидокаин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&gt;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мепивакаин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&gt;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бупивакаин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&gt;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ропивакин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хлорпрокаин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родственные им анестетики группы эфиров являются мощными вазодилататорами и быстро всасываются после инъекции; они быстро расщепляются в тканях и плазме под действием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эстераз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особенно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псевдохолинэст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е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разы.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быстро инактивируется ферментами слизистых и поэтому практически не вызывает поверхностной анестезии.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(8)-изомеры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прилокаина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мепивакаина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бупивакаина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вызывают менее выраженную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вазодилат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цию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, чем (11)-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энантиомеры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; следовательно, (5)-формы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хиральных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местных анестетиков действуют дол</w:t>
      </w:r>
      <w:r w:rsidR="00816712">
        <w:rPr>
          <w:rFonts w:ascii="Times New Roman" w:eastAsia="Calibri" w:hAnsi="Times New Roman" w:cs="Times New Roman"/>
          <w:sz w:val="28"/>
          <w:szCs w:val="28"/>
        </w:rPr>
        <w:t>ьше, чем их оптические антиподы.[17</w:t>
      </w:r>
      <w:r w:rsidR="00816712" w:rsidRPr="00816712">
        <w:rPr>
          <w:rFonts w:ascii="Times New Roman" w:eastAsia="Calibri" w:hAnsi="Times New Roman" w:cs="Times New Roman"/>
          <w:sz w:val="28"/>
          <w:szCs w:val="28"/>
        </w:rPr>
        <w:t>]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C57E6" w:rsidRPr="007C57E6" w:rsidRDefault="007C57E6" w:rsidP="007C57E6">
      <w:pPr>
        <w:keepNext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Arial"/>
          <w:b/>
          <w:bCs/>
          <w:kern w:val="32"/>
          <w:sz w:val="28"/>
          <w:szCs w:val="32"/>
        </w:rPr>
      </w:pPr>
      <w:bookmarkStart w:id="8" w:name="_Toc399105307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</w:rPr>
        <w:t xml:space="preserve">4. </w:t>
      </w:r>
      <w:proofErr w:type="spellStart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</w:rPr>
        <w:t>Фармакокинетика</w:t>
      </w:r>
      <w:bookmarkEnd w:id="8"/>
      <w:proofErr w:type="spellEnd"/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После всасывания анестетика из зоны инъекции его концентрация в плазме зависит от скорости распределения в тканях и элиминации. Замедленное всасывание местного анестетика может препятствовать точному определению его фармакокинетических параметров. После в/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введения концентрация местного анестетика в плазме снижается по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биэкспоненциальному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типу. Сначала следует фаза быстрого распределения (Т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/2 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«1-3 мин), обусловленная быстрым захватом анестетика хорошо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кровоснабжаемыми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органами (легкими, печенью, почками и скелетными мышцами). Затем концентрация снижается медленнее; эта фаза отражает метаболизм и экскрецию препарата.[11]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Конечный Т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/2 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большинства анестетиков группы эфиров относительно короток (приблизительно 10 мин) из-за быстрого гидролиза под действием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псевдохолинэстеразы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. Напротив, конечный Т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/2 </w:t>
      </w:r>
      <w:r w:rsidRPr="007C57E6">
        <w:rPr>
          <w:rFonts w:ascii="Times New Roman" w:eastAsia="Calibri" w:hAnsi="Times New Roman" w:cs="Times New Roman"/>
          <w:sz w:val="28"/>
          <w:szCs w:val="28"/>
        </w:rPr>
        <w:t>анестетиков группы амидов колеблется от 100 мин (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лидокаин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) до 200 мин (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бупивакаин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). Их объем распределения намного превышает общий объем воды в организме, в то время как клиренс приблизительно соответствует печеночному кровотоку. Патологические состояния могут изменять фармакокинетические свойства препаратов: 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сердечно-сосудистые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заболевания и цирроз печени снижают клиренс, объем распределения и конечный X</w:t>
      </w:r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1/2 </w:t>
      </w:r>
      <w:r w:rsidRPr="007C57E6">
        <w:rPr>
          <w:rFonts w:ascii="Times New Roman" w:eastAsia="Calibri" w:hAnsi="Times New Roman" w:cs="Times New Roman"/>
          <w:sz w:val="28"/>
          <w:szCs w:val="28"/>
        </w:rPr>
        <w:t>местных анестетиков. У новорожденных клиренс местных анестетиков понижен, а Т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>/2</w:t>
      </w:r>
      <w:r w:rsidR="00816712">
        <w:rPr>
          <w:rFonts w:ascii="Times New Roman" w:eastAsia="Calibri" w:hAnsi="Times New Roman" w:cs="Times New Roman"/>
          <w:sz w:val="28"/>
          <w:szCs w:val="28"/>
        </w:rPr>
        <w:t>, наоборот, повышен.</w:t>
      </w:r>
      <w:r w:rsidR="00816712" w:rsidRPr="00816712">
        <w:rPr>
          <w:rFonts w:ascii="Times New Roman" w:eastAsia="Calibri" w:hAnsi="Times New Roman" w:cs="Times New Roman"/>
          <w:sz w:val="28"/>
          <w:szCs w:val="28"/>
        </w:rPr>
        <w:t>[</w:t>
      </w:r>
      <w:r w:rsidR="00816712">
        <w:rPr>
          <w:rFonts w:ascii="Times New Roman" w:eastAsia="Calibri" w:hAnsi="Times New Roman" w:cs="Times New Roman"/>
          <w:sz w:val="28"/>
          <w:szCs w:val="28"/>
        </w:rPr>
        <w:t>1</w:t>
      </w:r>
      <w:r w:rsidR="00816712" w:rsidRPr="00816712">
        <w:rPr>
          <w:rFonts w:ascii="Times New Roman" w:eastAsia="Calibri" w:hAnsi="Times New Roman" w:cs="Times New Roman"/>
          <w:sz w:val="28"/>
          <w:szCs w:val="28"/>
        </w:rPr>
        <w:t>6]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C57E6" w:rsidRPr="007C57E6" w:rsidRDefault="007C57E6" w:rsidP="007C57E6">
      <w:pPr>
        <w:keepNext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Arial"/>
          <w:b/>
          <w:bCs/>
          <w:kern w:val="32"/>
          <w:sz w:val="28"/>
          <w:szCs w:val="32"/>
        </w:rPr>
      </w:pPr>
      <w:bookmarkStart w:id="9" w:name="_Toc399105308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</w:rPr>
        <w:t>5. Метаболизм и элиминация</w:t>
      </w:r>
      <w:bookmarkEnd w:id="9"/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Метаболизм местных анестетиков определяется их химическим строением: эфиры и амиды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метаболизируются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разными способами и в разных тканях.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Анестетики группы эфиров расщепляются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псевдохолинэстеразой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а также другими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эстеразами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. Только небольшая доля анестетиков группы эфира элиминируется с мочой в неизмененном виде. Например,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активно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гидролизуется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с образованием парааминобензойной кислоты 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диэтиламиноэтанола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; 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последний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под действием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алкогольдегидрогеназы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в дальнейшем превращается в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диэтилглицин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. Аналогично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метаболизируется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большинство других анестетиков группы эфиров (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хлорпрокаин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тетракаин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). Кокаин, напротив, относительно устойчив к гидролитическому действию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холинэстеразы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. Он подвергается активному метаболизму в печени, и только следовые количества (приблизительно 1%) выделяются в неизмененном виде. Исследования с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радиомеченным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кокаином показали, что он превращается в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норкокаин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экгонин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их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бензоилированные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аналоги. Некоторые из них оказывают стимулирующее действие на ЦНС.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В отличие от большинства анестетиков-эфиров, анестетики группы амидов активно расщепляются ферментами печени (в основном амидазами 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цито-плазмы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гладкого эндоплазматического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ретикулума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Лидокаин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почти полностью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метаболизируется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в печени, и только менее 10% выделяется в неизмененном виде с мочой. Вначале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лидокаин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дезалкилируется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до ацетальдегида 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моноэтилглицинкс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и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лидида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который затем подвергается гидролизу до </w:t>
      </w:r>
      <w:r w:rsidRPr="007C57E6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7C57E6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этилглицина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2,6-ксилидина. Последнее соединение впоследствии превращается в 4-гидрокси-2,6-ксилидин и выделяется с мочой. Некоторые метаболиты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лидокаина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имеют активность местного анестетика, другие обладают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проконвульсивным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действием (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моноэтилглицинксилидид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Глицинксилидид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(метаболит, образующийся в небольшом количестве) угнетает ЦНС, имеет сравнительно большой Т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>1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  <w:vertAlign w:val="subscript"/>
        </w:rPr>
        <w:t>/2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и для его элиминации может потребоваться несколько дней. Клиренс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лидокаина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составляет приблизительно 70-80% нормального печеночного кровотока, и после приема внутрь в системный кровоток попадают только следовые количества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лидокаина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(т. е. резко выражен эффект первого прохождения)</w:t>
      </w:r>
      <w:r w:rsidR="00816712" w:rsidRPr="008167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6712">
        <w:rPr>
          <w:rFonts w:ascii="Times New Roman" w:eastAsia="Calibri" w:hAnsi="Times New Roman" w:cs="Times New Roman"/>
          <w:sz w:val="28"/>
          <w:szCs w:val="28"/>
        </w:rPr>
        <w:t>[15</w:t>
      </w:r>
      <w:r w:rsidR="00816712" w:rsidRPr="00816712">
        <w:rPr>
          <w:rFonts w:ascii="Times New Roman" w:eastAsia="Calibri" w:hAnsi="Times New Roman" w:cs="Times New Roman"/>
          <w:sz w:val="28"/>
          <w:szCs w:val="28"/>
        </w:rPr>
        <w:t>]</w:t>
      </w:r>
      <w:r w:rsidRPr="007C57E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Прилокаин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разрушается быстрее других анестетиков группы амидов. Хотя его основной метаболизм осуществляется в печени, он также расщепляется в почках и легких. Основными метаболитами являются </w:t>
      </w:r>
      <w:r w:rsidRPr="007C57E6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7C57E6">
        <w:rPr>
          <w:rFonts w:ascii="Times New Roman" w:eastAsia="Calibri" w:hAnsi="Times New Roman" w:cs="Times New Roman"/>
          <w:sz w:val="28"/>
          <w:szCs w:val="28"/>
        </w:rPr>
        <w:t>-пропил амин и о-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толуидин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; последний может вызывать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метгемоглобинемию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цианоз, что иногда случается спустя 5-6 ч после введения больших доз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прилокаина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Метгемоглобинемия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обычно разрешается самостоятельно, но иногда требует применения восстанавливающих препаратов (аскорбиновой кислоты или метиленовой синьки).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Прилокаин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применяют в виде рацемической смеси двух стереоизомеров; R-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прилокаин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метаболизируется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быстрее S-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прилокаина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повышает концентрацию о-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толуидина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в крови, что приводит к увеличению уровня метгемоглобина.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Мепивакаин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быстро расщепляется в печени с образованием не менее трех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гидроксилированных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метаболитов; большая часть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мепивакаина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выделяется с мочой в виде 3-гидроксимепивакаина или 4-гидроксимепивакаина.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Бупивакаин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отличается сравнительно низким печеночным клиренсом 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метаболизируется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в печени медленно. Только 6% выделяется с мочой в неизмененном виде. Препарат в основном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гидролизуется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пипеколиновой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кислоты, но около 5% превращается в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пипеколилксилидид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дезалкилированный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метаболит). Оба метаболита выводятся с мочой.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Печеночный клиренс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ропивакаина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также относительно низок (приблизительно 30% печеночного кровотока). Метаболизм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ропивакаина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преимущественно осуществляется в печени, и только 1-2% препарата выводится с мочой в неизмененном виде.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Ропивакаин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в основном превращается в 3-гидроксиропивакаин, который затем конъюгируется и удаляется с мочой. Также образуются небольшие количества 4-гидроксиропивакаина и других метаболитов, которые также выводятся с мочой.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Этидокаин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частично расщепляется до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дезалкилированных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производных под действием печеночных оксидаз, после чего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гидролизуется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с образованием 2,6-ксилидина 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гидроксилированных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производных и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экскретируется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с мочой.[6]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C57E6" w:rsidRPr="007C57E6" w:rsidRDefault="007C57E6" w:rsidP="007C57E6">
      <w:pPr>
        <w:keepNext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Arial"/>
          <w:b/>
          <w:bCs/>
          <w:kern w:val="32"/>
          <w:sz w:val="28"/>
          <w:szCs w:val="32"/>
        </w:rPr>
      </w:pPr>
      <w:bookmarkStart w:id="10" w:name="_Toc399105309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</w:rPr>
        <w:t>Заключение</w:t>
      </w:r>
      <w:bookmarkEnd w:id="10"/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Механизм действия: анестетик, действуя на рецепторы, снижает проницаемость натриевых каналов, в результате чего нарушается вхождение ионов натрия в клетку, нарушается генерация потенциала действия и не проводится чувствительность. Для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пролонгирования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действия местных анестетиков к ним добавляют вазоконстрикторы (адреналина гидрохлорид).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Последовательно отключаются болевая, вкусовая, температурная, а затем тактильная виды чувствительности. Это связано с тем, что болевые рецепторы представляют собой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неинкапсулированные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расположенные близко к поверхности нервные окончания, а нервные волокна, проводящие болевую чувствительность, являются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немиелинизированными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и обладают малым диаметром.[12]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C57E6" w:rsidRPr="007C57E6" w:rsidRDefault="007C57E6" w:rsidP="007C57E6">
      <w:pPr>
        <w:keepNext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Arial"/>
          <w:b/>
          <w:bCs/>
          <w:kern w:val="32"/>
          <w:sz w:val="28"/>
          <w:szCs w:val="32"/>
        </w:rPr>
      </w:pPr>
      <w:bookmarkStart w:id="11" w:name="_Toc399105310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</w:rPr>
        <w:t>Список используемых источников</w:t>
      </w:r>
      <w:bookmarkEnd w:id="11"/>
      <w:r w:rsidRPr="007C57E6">
        <w:rPr>
          <w:rFonts w:ascii="Times New Roman" w:eastAsia="Calibri" w:hAnsi="Times New Roman" w:cs="Arial"/>
          <w:b/>
          <w:bCs/>
          <w:kern w:val="32"/>
          <w:sz w:val="28"/>
          <w:szCs w:val="32"/>
        </w:rPr>
        <w:t xml:space="preserve"> </w:t>
      </w:r>
    </w:p>
    <w:p w:rsidR="007C57E6" w:rsidRPr="007C57E6" w:rsidRDefault="007C57E6" w:rsidP="007C57E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Багиров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М.М., Бондарь М.В.,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Бубало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А.Ф., Гриценко С.Н. и др. Руководство по анестезиологии: Учеб. пособие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/ П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од ред. Ф.С.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Глумчера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А.И.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Трещинского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— К.: Медицина, 2009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Белоусов Ю.Б. Клиническая фармакология и фармакотерапия: Рук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д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ля врачей / Ю.Б. Белоусов, B.C. Моисеев, В.К.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Лепахин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. 2-е изд.,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испр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. и до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п.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.: Универсум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Паблишинг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201</w:t>
      </w:r>
      <w:r w:rsidRPr="007C57E6">
        <w:rPr>
          <w:rFonts w:ascii="Times New Roman" w:eastAsia="Calibri" w:hAnsi="Times New Roman" w:cs="Times New Roman"/>
          <w:sz w:val="28"/>
          <w:szCs w:val="28"/>
        </w:rPr>
        <w:t>5.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Вейн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А. М. Боль и обезболивание. / A.M.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Ве</w:t>
      </w:r>
      <w:r>
        <w:rPr>
          <w:rFonts w:ascii="Times New Roman" w:eastAsia="Calibri" w:hAnsi="Times New Roman" w:cs="Times New Roman"/>
          <w:sz w:val="28"/>
          <w:szCs w:val="28"/>
        </w:rPr>
        <w:t>йн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М.Я.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Авруцкий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// Москва. 201</w:t>
      </w:r>
      <w:r w:rsidRPr="007C57E6">
        <w:rPr>
          <w:rFonts w:ascii="Times New Roman" w:eastAsia="Calibri" w:hAnsi="Times New Roman" w:cs="Times New Roman"/>
          <w:sz w:val="28"/>
          <w:szCs w:val="28"/>
        </w:rPr>
        <w:t>7.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Гилман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А.Г. Клиническая фармакология / Под ред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А.Г.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Гилмана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М: Практика, 201</w:t>
      </w:r>
      <w:r w:rsidRPr="007C57E6">
        <w:rPr>
          <w:rFonts w:ascii="Times New Roman" w:eastAsia="Calibri" w:hAnsi="Times New Roman" w:cs="Times New Roman"/>
          <w:sz w:val="28"/>
          <w:szCs w:val="28"/>
        </w:rPr>
        <w:t>6.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Грицук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С. Анестезия и интенсивная терапия в стоматологии ГЭОТАР-Медиа, 2014 г.</w:t>
      </w:r>
    </w:p>
    <w:p w:rsid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Калви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Т.Н., Уильямс Н.Е. Фармакология для анестезиолога/ Пер. с англ.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М.: «Издательство БИНОМ», 201</w:t>
      </w:r>
      <w:r w:rsidRPr="007C57E6">
        <w:rPr>
          <w:rFonts w:ascii="Times New Roman" w:eastAsia="Calibri" w:hAnsi="Times New Roman" w:cs="Times New Roman"/>
          <w:sz w:val="28"/>
          <w:szCs w:val="28"/>
        </w:rPr>
        <w:t>7.</w:t>
      </w:r>
    </w:p>
    <w:p w:rsidR="00816712" w:rsidRPr="007C57E6" w:rsidRDefault="00816712" w:rsidP="00816712">
      <w:pPr>
        <w:numPr>
          <w:ilvl w:val="0"/>
          <w:numId w:val="3"/>
        </w:numPr>
        <w:tabs>
          <w:tab w:val="clear" w:pos="720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12">
        <w:rPr>
          <w:rFonts w:ascii="Times New Roman" w:eastAsia="Calibri" w:hAnsi="Times New Roman" w:cs="Times New Roman"/>
          <w:sz w:val="28"/>
          <w:szCs w:val="28"/>
        </w:rPr>
        <w:t xml:space="preserve">Кононенко Ю.Г., Рожко Н.М., </w:t>
      </w:r>
      <w:proofErr w:type="spellStart"/>
      <w:r w:rsidRPr="00816712">
        <w:rPr>
          <w:rFonts w:ascii="Times New Roman" w:eastAsia="Calibri" w:hAnsi="Times New Roman" w:cs="Times New Roman"/>
          <w:sz w:val="28"/>
          <w:szCs w:val="28"/>
        </w:rPr>
        <w:t>Рузин</w:t>
      </w:r>
      <w:proofErr w:type="spellEnd"/>
      <w:r w:rsidRPr="00816712">
        <w:rPr>
          <w:rFonts w:ascii="Times New Roman" w:eastAsia="Calibri" w:hAnsi="Times New Roman" w:cs="Times New Roman"/>
          <w:sz w:val="28"/>
          <w:szCs w:val="28"/>
        </w:rPr>
        <w:t xml:space="preserve"> Г.П. Местное обезболивание в амбулаторной стоматологии. - М. «Книга плюс», 2012.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Кулаков А.А., Робустова Т.Г.,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Неробеев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А.И. Хирургическая стоматология и челюстно-лицевая хирургия: нац. рук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.,</w:t>
      </w:r>
      <w:r w:rsidRPr="007C57E6">
        <w:rPr>
          <w:rFonts w:ascii="Times New Roman" w:eastAsia="Calibri" w:hAnsi="Times New Roman" w:cs="Times New Roman"/>
        </w:rPr>
        <w:t xml:space="preserve"> 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>ГЭОТАР-Медиа</w:t>
      </w:r>
      <w:r w:rsidRPr="007C57E6">
        <w:rPr>
          <w:rFonts w:ascii="Times New Roman" w:eastAsia="Calibri" w:hAnsi="Times New Roman" w:cs="Times New Roman"/>
        </w:rPr>
        <w:t xml:space="preserve"> </w:t>
      </w:r>
      <w:r w:rsidRPr="007C57E6">
        <w:rPr>
          <w:rFonts w:ascii="Times New Roman" w:eastAsia="Calibri" w:hAnsi="Times New Roman" w:cs="Times New Roman"/>
          <w:sz w:val="28"/>
          <w:szCs w:val="28"/>
        </w:rPr>
        <w:t>2010.</w:t>
      </w:r>
    </w:p>
    <w:p w:rsid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Майкл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Малрой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Кристофер М.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Бернардс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Сюзан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Б. Макдональд,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Фрэнсис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В.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Салинас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Местная анестезия. Практическое руководство </w:t>
      </w:r>
      <w:r w:rsidRPr="007C57E6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57E6">
        <w:rPr>
          <w:rFonts w:ascii="Times New Roman" w:eastAsia="Calibri" w:hAnsi="Times New Roman" w:cs="Times New Roman"/>
          <w:sz w:val="28"/>
          <w:szCs w:val="28"/>
          <w:lang w:val="en-US"/>
        </w:rPr>
        <w:t>Practical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57E6">
        <w:rPr>
          <w:rFonts w:ascii="Times New Roman" w:eastAsia="Calibri" w:hAnsi="Times New Roman" w:cs="Times New Roman"/>
          <w:sz w:val="28"/>
          <w:szCs w:val="28"/>
          <w:lang w:val="en-US"/>
        </w:rPr>
        <w:t>Approach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57E6">
        <w:rPr>
          <w:rFonts w:ascii="Times New Roman" w:eastAsia="Calibri" w:hAnsi="Times New Roman" w:cs="Times New Roman"/>
          <w:sz w:val="28"/>
          <w:szCs w:val="28"/>
          <w:lang w:val="en-US"/>
        </w:rPr>
        <w:t>to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57E6">
        <w:rPr>
          <w:rFonts w:ascii="Times New Roman" w:eastAsia="Calibri" w:hAnsi="Times New Roman" w:cs="Times New Roman"/>
          <w:sz w:val="28"/>
          <w:szCs w:val="28"/>
          <w:lang w:val="en-US"/>
        </w:rPr>
        <w:t>Regional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57E6">
        <w:rPr>
          <w:rFonts w:ascii="Times New Roman" w:eastAsia="Calibri" w:hAnsi="Times New Roman" w:cs="Times New Roman"/>
          <w:sz w:val="28"/>
          <w:szCs w:val="28"/>
          <w:lang w:val="en-US"/>
        </w:rPr>
        <w:t>Anesthesia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Переводчики: А. Митрохин, Е. Евдокимов Изд-во: Бином. Лаборатория знаний, 2014</w:t>
      </w:r>
    </w:p>
    <w:p w:rsidR="007C57E6" w:rsidRPr="007C57E6" w:rsidRDefault="007C57E6" w:rsidP="007C57E6">
      <w:pPr>
        <w:numPr>
          <w:ilvl w:val="0"/>
          <w:numId w:val="3"/>
        </w:numPr>
        <w:tabs>
          <w:tab w:val="clear" w:pos="720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Макеева И.М., Ерохин А.И., Бондаренко И.В., Бондаренко О.В., Кузин А.В., Рожнов С.М. Местное обезболивание в стоматологии, М: ГОУ ВПО ПМГМУ им. И.М. Сеченова, 2011.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Морган-мл., Дж.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Э.Клиническая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анестезиология [Текст]: руководство. Кн. 3. Анестезиологическое пособие. Послеоперационный период. Интенсивная терапия / Дж. Э. Морган-мл. - М.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Бином, 2009.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Неймарк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, М. И. Анестезиология и реаниматология в таблицах и схемах [Текст] : метод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ек. / МЗ РФ.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Алт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. гос. мед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>у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н-т;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Неймарк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М. И., Меркулов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И. В. - Барнаул : ПАРАГРАФ, 201</w:t>
      </w:r>
      <w:r w:rsidRPr="007C57E6">
        <w:rPr>
          <w:rFonts w:ascii="Times New Roman" w:eastAsia="Calibri" w:hAnsi="Times New Roman" w:cs="Times New Roman"/>
          <w:sz w:val="28"/>
          <w:szCs w:val="28"/>
        </w:rPr>
        <w:t>2. - 24 с. всего 10</w:t>
      </w:r>
    </w:p>
    <w:p w:rsidR="00816712" w:rsidRPr="00816712" w:rsidRDefault="00816712" w:rsidP="00816712">
      <w:pPr>
        <w:numPr>
          <w:ilvl w:val="0"/>
          <w:numId w:val="3"/>
        </w:numPr>
        <w:tabs>
          <w:tab w:val="clear" w:pos="720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12">
        <w:rPr>
          <w:rFonts w:ascii="Times New Roman" w:eastAsia="Calibri" w:hAnsi="Times New Roman" w:cs="Times New Roman"/>
          <w:sz w:val="28"/>
          <w:szCs w:val="28"/>
        </w:rPr>
        <w:t>Рабинович С.А. Современные технологии местного обезболивания в стоматологии. - М.: ВУНМЦ МЗ РФ, 2011.</w:t>
      </w:r>
    </w:p>
    <w:p w:rsidR="007C57E6" w:rsidRPr="00816712" w:rsidRDefault="00816712" w:rsidP="00816712">
      <w:pPr>
        <w:numPr>
          <w:ilvl w:val="0"/>
          <w:numId w:val="3"/>
        </w:numPr>
        <w:tabs>
          <w:tab w:val="clear" w:pos="720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12">
        <w:rPr>
          <w:rFonts w:ascii="Times New Roman" w:eastAsia="Calibri" w:hAnsi="Times New Roman" w:cs="Times New Roman"/>
          <w:sz w:val="28"/>
          <w:szCs w:val="28"/>
        </w:rPr>
        <w:t xml:space="preserve">Робустова Т. Г., Афанасьев В. В., </w:t>
      </w:r>
      <w:proofErr w:type="spellStart"/>
      <w:r w:rsidRPr="00816712">
        <w:rPr>
          <w:rFonts w:ascii="Times New Roman" w:eastAsia="Calibri" w:hAnsi="Times New Roman" w:cs="Times New Roman"/>
          <w:sz w:val="28"/>
          <w:szCs w:val="28"/>
        </w:rPr>
        <w:t>Биберман</w:t>
      </w:r>
      <w:proofErr w:type="spellEnd"/>
      <w:r w:rsidRPr="00816712">
        <w:rPr>
          <w:rFonts w:ascii="Times New Roman" w:eastAsia="Calibri" w:hAnsi="Times New Roman" w:cs="Times New Roman"/>
          <w:sz w:val="28"/>
          <w:szCs w:val="28"/>
        </w:rPr>
        <w:t xml:space="preserve"> Я. М. и др. Хирургическая стоматология. Изд. 4-е, </w:t>
      </w:r>
      <w:proofErr w:type="spellStart"/>
      <w:r w:rsidRPr="00816712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816712">
        <w:rPr>
          <w:rFonts w:ascii="Times New Roman" w:eastAsia="Calibri" w:hAnsi="Times New Roman" w:cs="Times New Roman"/>
          <w:sz w:val="28"/>
          <w:szCs w:val="28"/>
        </w:rPr>
        <w:t>. и доп. - Москва: Медицина, 2010.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Руководство по клинической анестезиологии [Текст]</w:t>
      </w:r>
      <w:proofErr w:type="gramStart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 пер. с англ. / ред.: Дж. Брайан </w:t>
      </w:r>
      <w:proofErr w:type="spellStart"/>
      <w:r w:rsidRPr="007C57E6">
        <w:rPr>
          <w:rFonts w:ascii="Times New Roman" w:eastAsia="Calibri" w:hAnsi="Times New Roman" w:cs="Times New Roman"/>
          <w:sz w:val="28"/>
          <w:szCs w:val="28"/>
        </w:rPr>
        <w:t>Поллард</w:t>
      </w:r>
      <w:proofErr w:type="spellEnd"/>
      <w:r w:rsidRPr="007C57E6">
        <w:rPr>
          <w:rFonts w:ascii="Times New Roman" w:eastAsia="Calibri" w:hAnsi="Times New Roman" w:cs="Times New Roman"/>
          <w:sz w:val="28"/>
          <w:szCs w:val="28"/>
        </w:rPr>
        <w:t>, Л. В. Колотилов, В. В. Маль</w:t>
      </w:r>
      <w:r>
        <w:rPr>
          <w:rFonts w:ascii="Times New Roman" w:eastAsia="Calibri" w:hAnsi="Times New Roman" w:cs="Times New Roman"/>
          <w:sz w:val="28"/>
          <w:szCs w:val="28"/>
        </w:rPr>
        <w:t>цев. - М.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МЕДпресс-информ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201</w:t>
      </w:r>
      <w:r w:rsidRPr="007C57E6">
        <w:rPr>
          <w:rFonts w:ascii="Times New Roman" w:eastAsia="Calibri" w:hAnsi="Times New Roman" w:cs="Times New Roman"/>
          <w:sz w:val="28"/>
          <w:szCs w:val="28"/>
        </w:rPr>
        <w:t xml:space="preserve">6. 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Шаров Д.В.  Стоматол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огия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М.:Изд-во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ВЛАДОС-ПРЕСС, 201</w:t>
      </w:r>
      <w:r w:rsidRPr="007C57E6">
        <w:rPr>
          <w:rFonts w:ascii="Times New Roman" w:eastAsia="Calibri" w:hAnsi="Times New Roman" w:cs="Times New Roman"/>
          <w:sz w:val="28"/>
          <w:szCs w:val="28"/>
        </w:rPr>
        <w:t>5.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http://www.critical.ru/RegionarSchool/content/view/lessons/121/0010.html</w:t>
      </w:r>
    </w:p>
    <w:p w:rsidR="007C57E6" w:rsidRPr="007C57E6" w:rsidRDefault="007C57E6" w:rsidP="007C57E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http://bone</w:t>
      </w:r>
      <w:r w:rsidRPr="007C57E6">
        <w:rPr>
          <w:rFonts w:ascii="Times New Roman" w:eastAsia="Calibri" w:hAnsi="Times New Roman" w:cs="Times New Roman"/>
          <w:sz w:val="28"/>
          <w:szCs w:val="28"/>
        </w:rPr>
        <w:t>surgery.ru/view/mestnye_anestetiki_primenyaemye_v_stomatologii/</w:t>
      </w:r>
    </w:p>
    <w:p w:rsidR="00743F96" w:rsidRPr="007C57E6" w:rsidRDefault="007C57E6" w:rsidP="007C57E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7E6">
        <w:rPr>
          <w:rFonts w:ascii="Times New Roman" w:eastAsia="Calibri" w:hAnsi="Times New Roman" w:cs="Times New Roman"/>
          <w:sz w:val="28"/>
          <w:szCs w:val="28"/>
        </w:rPr>
        <w:t>http://stomatologs.com.ua/news/mekhanizm_dejstvija_mestnykh_anestetikov/2012-05-05-4</w:t>
      </w:r>
    </w:p>
    <w:sectPr w:rsidR="00743F96" w:rsidRPr="007C5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D6980"/>
    <w:multiLevelType w:val="hybridMultilevel"/>
    <w:tmpl w:val="51268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3FE4B2B"/>
    <w:multiLevelType w:val="multilevel"/>
    <w:tmpl w:val="16FC4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ED563D"/>
    <w:multiLevelType w:val="multilevel"/>
    <w:tmpl w:val="34922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974585"/>
    <w:multiLevelType w:val="multilevel"/>
    <w:tmpl w:val="A03EF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7E6"/>
    <w:rsid w:val="00743F96"/>
    <w:rsid w:val="007C57E6"/>
    <w:rsid w:val="0081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7E6"/>
    <w:pPr>
      <w:spacing w:after="0" w:line="240" w:lineRule="auto"/>
    </w:pPr>
    <w:rPr>
      <w:rFonts w:ascii="Times New Roman" w:eastAsia="Calibri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5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7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7E6"/>
    <w:pPr>
      <w:spacing w:after="0" w:line="240" w:lineRule="auto"/>
    </w:pPr>
    <w:rPr>
      <w:rFonts w:ascii="Times New Roman" w:eastAsia="Calibri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5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8;&#1077;&#1093;&#1085;&#1086;&#1057;&#1055;&#1041;\Downloads\Metabolizm.docx" TargetMode="External"/><Relationship Id="rId13" Type="http://schemas.openxmlformats.org/officeDocument/2006/relationships/hyperlink" Target="file:///C:\Users\&#1058;&#1077;&#1093;&#1085;&#1086;&#1057;&#1055;&#1041;\Downloads\Metabolizm.docx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58;&#1077;&#1093;&#1085;&#1086;&#1057;&#1055;&#1041;\Downloads\Metabolizm.docx" TargetMode="External"/><Relationship Id="rId12" Type="http://schemas.openxmlformats.org/officeDocument/2006/relationships/hyperlink" Target="file:///C:\Users\&#1058;&#1077;&#1093;&#1085;&#1086;&#1057;&#1055;&#1041;\Downloads\Metabolizm.docx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hyperlink" Target="file:///C:\Users\&#1058;&#1077;&#1093;&#1085;&#1086;&#1057;&#1055;&#1041;\Downloads\Metabolizm.docx" TargetMode="External"/><Relationship Id="rId11" Type="http://schemas.openxmlformats.org/officeDocument/2006/relationships/hyperlink" Target="file:///C:\Users\&#1058;&#1077;&#1093;&#1085;&#1086;&#1057;&#1055;&#1041;\Downloads\Metabolizm.docx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file:///C:\Users\&#1058;&#1077;&#1093;&#1085;&#1086;&#1057;&#1055;&#1041;\Downloads\Metabolizm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&#1058;&#1077;&#1093;&#1085;&#1086;&#1057;&#1055;&#1041;\Downloads\Metabolizm.docx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21</Pages>
  <Words>3869</Words>
  <Characters>22056</Characters>
  <Application>Microsoft Office Word</Application>
  <DocSecurity>0</DocSecurity>
  <Lines>183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Введение</vt:lpstr>
      <vt:lpstr>1. Фармакологическая основа местных анестетиков </vt:lpstr>
      <vt:lpstr>    Жирорастворимость </vt:lpstr>
      <vt:lpstr>    Связывание протеинов </vt:lpstr>
      <vt:lpstr>    </vt:lpstr>
      <vt:lpstr>    Выраженная сосудорасширяющая активность </vt:lpstr>
      <vt:lpstr>        </vt:lpstr>
      <vt:lpstr>        </vt:lpstr>
      <vt:lpstr>2. Действие</vt:lpstr>
      <vt:lpstr>3. Всасывание местных анестетиков в системный кровоток</vt:lpstr>
      <vt:lpstr>4. Фармакокинетика</vt:lpstr>
      <vt:lpstr>5. Метаболизм и элиминация</vt:lpstr>
      <vt:lpstr>Заключение</vt:lpstr>
      <vt:lpstr>Список используемых источников </vt:lpstr>
    </vt:vector>
  </TitlesOfParts>
  <Company/>
  <LinksUpToDate>false</LinksUpToDate>
  <CharactersWithSpaces>25874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ТехноСПБ</dc:creator>
  <cp:lastModifiedBy>ТехноСПБ</cp:lastModifiedBy>
  <cp:revision>1</cp:revision>
  <dcterms:created xsi:type="dcterms:W3CDTF">2020-05-31T20:41:00Z</dcterms:created>
  <dcterms:modified xsi:type="dcterms:W3CDTF">2020-05-31T20:57:00Z</dcterms:modified>
</cp:coreProperties>
</file>